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6BC6" w14:textId="5B8494BE" w:rsidR="00041853" w:rsidRPr="008345E8" w:rsidRDefault="008345E8" w:rsidP="008345E8">
      <w:pPr>
        <w:pStyle w:val="Heading1"/>
      </w:pPr>
      <w:r w:rsidRPr="008345E8">
        <w:t xml:space="preserve">Civeo </w:t>
      </w:r>
      <w:r w:rsidR="00041853" w:rsidRPr="008345E8">
        <w:t>USA, LLC.</w:t>
      </w:r>
      <w:r w:rsidRPr="008345E8">
        <w:t xml:space="preserve"> v. </w:t>
      </w:r>
      <w:r w:rsidRPr="008345E8">
        <w:t>H</w:t>
      </w:r>
      <w:r w:rsidRPr="008345E8">
        <w:t xml:space="preserve">oward, </w:t>
      </w:r>
      <w:r w:rsidRPr="008345E8">
        <w:t>B</w:t>
      </w:r>
      <w:r w:rsidRPr="008345E8">
        <w:t>.</w:t>
      </w:r>
      <w:r w:rsidRPr="008345E8">
        <w:t>T</w:t>
      </w:r>
      <w:r w:rsidRPr="008345E8">
        <w:t>.</w:t>
      </w:r>
      <w:r w:rsidRPr="008345E8">
        <w:t>A</w:t>
      </w:r>
      <w:r w:rsidRPr="008345E8">
        <w:t>.</w:t>
      </w:r>
      <w:r w:rsidRPr="008345E8">
        <w:t xml:space="preserve"> </w:t>
      </w:r>
      <w:r w:rsidRPr="008345E8">
        <w:t>Docket No</w:t>
      </w:r>
      <w:r w:rsidRPr="008345E8">
        <w:t>. L02026</w:t>
      </w:r>
      <w:r w:rsidRPr="008345E8">
        <w:t xml:space="preserve">, consolidated with </w:t>
      </w:r>
      <w:r w:rsidRPr="008345E8">
        <w:t>Civeo USA, LLC. v. Howard, B.T.A. Docket No. L0202</w:t>
      </w:r>
      <w:r w:rsidRPr="008345E8">
        <w:t>7</w:t>
      </w:r>
    </w:p>
    <w:p w14:paraId="76878126" w14:textId="51472295" w:rsidR="00041853" w:rsidRPr="008345E8" w:rsidRDefault="008345E8" w:rsidP="008345E8">
      <w:pPr>
        <w:pStyle w:val="Heading2"/>
      </w:pPr>
      <w:r w:rsidRPr="008345E8">
        <w:t>Judgment and Written Reasons</w:t>
      </w:r>
    </w:p>
    <w:p w14:paraId="53D07A91" w14:textId="7DE3DE1B" w:rsidR="00036858" w:rsidRPr="008345E8" w:rsidRDefault="00041853" w:rsidP="008345E8">
      <w:r w:rsidRPr="008345E8">
        <w:t xml:space="preserve">These consolidated matters came before the Board on November </w:t>
      </w:r>
      <w:r w:rsidR="007C42B6" w:rsidRPr="008345E8">
        <w:t>5</w:t>
      </w:r>
      <w:r w:rsidRPr="008345E8">
        <w:t xml:space="preserve">, 2025, for hearing </w:t>
      </w:r>
      <w:r w:rsidR="007C42B6" w:rsidRPr="008345E8">
        <w:t xml:space="preserve">on </w:t>
      </w:r>
      <w:r w:rsidRPr="008345E8">
        <w:t xml:space="preserve">the Motion for Summary Judgment filed by Civeo USA, LLC (“Civeo”), with </w:t>
      </w:r>
      <w:r w:rsidR="007C42B6" w:rsidRPr="008345E8">
        <w:t>Local Tax Judge Ad Hoc Cade R. Cole presiding.</w:t>
      </w:r>
      <w:r w:rsidR="007C42B6" w:rsidRPr="008345E8">
        <w:rPr>
          <w:rStyle w:val="FootnoteReference"/>
          <w:vertAlign w:val="baseline"/>
        </w:rPr>
        <w:footnoteReference w:id="1"/>
      </w:r>
      <w:r w:rsidRPr="008345E8">
        <w:t xml:space="preserve"> Appearing before the Board were Sanders Colbert, on behalf of Civeo, and Russ Stutes, III, on behalf of Hollie Howard, in her capacity as Director for the Calcasieu Parish School Board Sales and Use Tax Department, the Calcasieu Parish School Board Sales and Use Tax Department, and the Southwest Louisiana Convention and Visitors Bureau, (collectively, the “Collector”). At the Conclusion of the hearing, the Board took the matter under advisement.</w:t>
      </w:r>
      <w:r w:rsidR="00036858" w:rsidRPr="008345E8">
        <w:t xml:space="preserve"> In accordance with the attached Written Reasons for Judgment, the Board now renders Judgment as follows:</w:t>
      </w:r>
    </w:p>
    <w:p w14:paraId="38250AEB" w14:textId="3B4DA2D2" w:rsidR="00036858" w:rsidRPr="008345E8" w:rsidRDefault="008345E8" w:rsidP="008345E8">
      <w:r w:rsidRPr="008345E8">
        <w:t xml:space="preserve">It </w:t>
      </w:r>
      <w:r>
        <w:t>i</w:t>
      </w:r>
      <w:r w:rsidRPr="008345E8">
        <w:t xml:space="preserve">s Ordered, Adjudged, </w:t>
      </w:r>
      <w:r>
        <w:t>a</w:t>
      </w:r>
      <w:r w:rsidRPr="008345E8">
        <w:t xml:space="preserve">nd Decreed </w:t>
      </w:r>
      <w:r w:rsidR="00036858" w:rsidRPr="008345E8">
        <w:t xml:space="preserve">that Civeo’s Motion for Summary Judgment be and is hereby </w:t>
      </w:r>
      <w:r>
        <w:t>Denied</w:t>
      </w:r>
      <w:r w:rsidR="00036858" w:rsidRPr="008345E8">
        <w:t>.</w:t>
      </w:r>
    </w:p>
    <w:p w14:paraId="1D4529C1" w14:textId="5FFF0309" w:rsidR="00041853" w:rsidRDefault="008345E8" w:rsidP="00B7503A">
      <w:pPr>
        <w:spacing w:after="0"/>
        <w:rPr>
          <w:b/>
          <w:bCs/>
          <w:kern w:val="2"/>
          <w14:ligatures w14:val="standardContextual"/>
        </w:rPr>
      </w:pPr>
      <w:r w:rsidRPr="008345E8">
        <w:rPr>
          <w:b/>
          <w:bCs/>
          <w:kern w:val="2"/>
          <w14:ligatures w14:val="standardContextual"/>
        </w:rPr>
        <w:t>Judgment Rendered and Signed at Baton Rouge, Louisiana, on this 7</w:t>
      </w:r>
      <w:r w:rsidRPr="008345E8">
        <w:rPr>
          <w:b/>
          <w:bCs/>
          <w:kern w:val="2"/>
          <w:vertAlign w:val="superscript"/>
          <w14:ligatures w14:val="standardContextual"/>
        </w:rPr>
        <w:t>th</w:t>
      </w:r>
      <w:r w:rsidRPr="008345E8">
        <w:rPr>
          <w:b/>
          <w:bCs/>
          <w:kern w:val="2"/>
          <w14:ligatures w14:val="standardContextual"/>
        </w:rPr>
        <w:t xml:space="preserve"> Day of </w:t>
      </w:r>
      <w:proofErr w:type="gramStart"/>
      <w:r w:rsidRPr="008345E8">
        <w:rPr>
          <w:b/>
          <w:bCs/>
          <w:kern w:val="2"/>
          <w14:ligatures w14:val="standardContextual"/>
        </w:rPr>
        <w:t>April,</w:t>
      </w:r>
      <w:proofErr w:type="gramEnd"/>
      <w:r w:rsidRPr="008345E8">
        <w:rPr>
          <w:b/>
          <w:bCs/>
          <w:kern w:val="2"/>
          <w14:ligatures w14:val="standardContextual"/>
        </w:rPr>
        <w:t xml:space="preserve"> 2026.</w:t>
      </w:r>
    </w:p>
    <w:p w14:paraId="456CFF35" w14:textId="77777777" w:rsidR="008345E8" w:rsidRPr="00C267D7" w:rsidRDefault="008345E8" w:rsidP="00B7503A">
      <w:pPr>
        <w:spacing w:after="0" w:line="240" w:lineRule="auto"/>
        <w:rPr>
          <w:b/>
          <w:bCs/>
        </w:rPr>
      </w:pPr>
      <w:bookmarkStart w:id="0" w:name="_Hlk225342730"/>
      <w:r w:rsidRPr="00C267D7">
        <w:rPr>
          <w:b/>
          <w:bCs/>
        </w:rPr>
        <w:t>For the Board:</w:t>
      </w:r>
    </w:p>
    <w:p w14:paraId="01875B84" w14:textId="77777777" w:rsidR="008345E8" w:rsidRPr="00C267D7" w:rsidRDefault="008345E8" w:rsidP="00B7503A">
      <w:pPr>
        <w:spacing w:after="0" w:line="240" w:lineRule="auto"/>
        <w:rPr>
          <w:b/>
          <w:bCs/>
        </w:rPr>
      </w:pPr>
      <w:r w:rsidRPr="00C267D7">
        <w:rPr>
          <w:b/>
          <w:bCs/>
        </w:rPr>
        <w:t>Hon. Cade R. Cole</w:t>
      </w:r>
    </w:p>
    <w:p w14:paraId="40CE8077" w14:textId="77777777" w:rsidR="008345E8" w:rsidRPr="00C267D7" w:rsidRDefault="008345E8" w:rsidP="00B7503A">
      <w:pPr>
        <w:spacing w:after="0" w:line="240" w:lineRule="auto"/>
        <w:rPr>
          <w:b/>
          <w:bCs/>
        </w:rPr>
      </w:pPr>
      <w:r w:rsidRPr="00C267D7">
        <w:rPr>
          <w:b/>
          <w:bCs/>
        </w:rPr>
        <w:t xml:space="preserve">Local Tax Judge </w:t>
      </w:r>
      <w:r w:rsidRPr="00C267D7">
        <w:rPr>
          <w:b/>
          <w:bCs/>
          <w:i/>
        </w:rPr>
        <w:t>Ad Hoc</w:t>
      </w:r>
    </w:p>
    <w:p w14:paraId="4D2320D5" w14:textId="77777777" w:rsidR="008345E8" w:rsidRPr="00C267D7" w:rsidRDefault="008345E8" w:rsidP="00B7503A">
      <w:pPr>
        <w:spacing w:after="0" w:line="240" w:lineRule="auto"/>
        <w:rPr>
          <w:b/>
          <w:bCs/>
        </w:rPr>
      </w:pPr>
      <w:r w:rsidRPr="00C267D7">
        <w:rPr>
          <w:b/>
          <w:bCs/>
        </w:rPr>
        <w:t>Board of Tax Appeals</w:t>
      </w:r>
    </w:p>
    <w:p w14:paraId="72E99FA1" w14:textId="04B401C7" w:rsidR="007C42B6" w:rsidRDefault="008345E8" w:rsidP="00B7503A">
      <w:pPr>
        <w:spacing w:after="0" w:line="240" w:lineRule="auto"/>
        <w:sectPr w:rsidR="007C42B6" w:rsidSect="00D106CB">
          <w:footerReference w:type="default" r:id="rId8"/>
          <w:pgSz w:w="12240" w:h="20160" w:code="5"/>
          <w:pgMar w:top="2160" w:right="1440" w:bottom="1440" w:left="1440" w:header="720" w:footer="720" w:gutter="0"/>
          <w:cols w:space="720"/>
          <w:docGrid w:linePitch="360"/>
        </w:sectPr>
      </w:pPr>
      <w:r w:rsidRPr="00C267D7">
        <w:rPr>
          <w:b/>
          <w:bCs/>
        </w:rPr>
        <w:t>State of Louisiana</w:t>
      </w:r>
      <w:bookmarkEnd w:id="0"/>
    </w:p>
    <w:p w14:paraId="15A1E742" w14:textId="77777777" w:rsidR="007C42B6" w:rsidRDefault="007C42B6" w:rsidP="008345E8">
      <w:pPr>
        <w:sectPr w:rsidR="007C42B6" w:rsidSect="00415D85">
          <w:pgSz w:w="12240" w:h="20160" w:code="5"/>
          <w:pgMar w:top="2160" w:right="1440" w:bottom="1440" w:left="1440" w:header="720" w:footer="720" w:gutter="0"/>
          <w:pgNumType w:start="1"/>
          <w:cols w:space="720"/>
          <w:docGrid w:linePitch="360"/>
        </w:sectPr>
      </w:pPr>
    </w:p>
    <w:p w14:paraId="37E370D5" w14:textId="4D6709C3" w:rsidR="009522D4" w:rsidRPr="00401BDD" w:rsidRDefault="00E3574E" w:rsidP="00E3574E">
      <w:pPr>
        <w:pStyle w:val="Heading2"/>
      </w:pPr>
      <w:r w:rsidRPr="00401BDD">
        <w:t>Written Reasons</w:t>
      </w:r>
      <w:r>
        <w:t xml:space="preserve"> for Judgment</w:t>
      </w:r>
    </w:p>
    <w:p w14:paraId="372DE285" w14:textId="0FF8AF46" w:rsidR="004E4908" w:rsidRDefault="004E4908" w:rsidP="008345E8">
      <w:r w:rsidRPr="00F55125">
        <w:t xml:space="preserve">These consolidated matters came before the Board on November </w:t>
      </w:r>
      <w:r w:rsidR="007C42B6">
        <w:t>5</w:t>
      </w:r>
      <w:r w:rsidRPr="00F55125">
        <w:t xml:space="preserve">, 2025, for hearing </w:t>
      </w:r>
      <w:r w:rsidR="00E13D7F">
        <w:t xml:space="preserve">on </w:t>
      </w:r>
      <w:r w:rsidRPr="00F55125">
        <w:t xml:space="preserve">the Motion for Summary Judgment filed by Civeo USA, LLC (“Civeo”), with </w:t>
      </w:r>
      <w:r w:rsidR="007C42B6">
        <w:t xml:space="preserve">Local Tax Judge </w:t>
      </w:r>
      <w:r w:rsidR="007C42B6" w:rsidRPr="00F26D20">
        <w:rPr>
          <w:i/>
          <w:iCs/>
        </w:rPr>
        <w:t>Ad Hoc</w:t>
      </w:r>
      <w:r w:rsidR="007C42B6">
        <w:t xml:space="preserve"> Cade R. Cole presiding.</w:t>
      </w:r>
      <w:r w:rsidR="007C42B6">
        <w:rPr>
          <w:rStyle w:val="FootnoteReference"/>
        </w:rPr>
        <w:footnoteReference w:id="2"/>
      </w:r>
      <w:r w:rsidR="007C42B6" w:rsidRPr="00F55125">
        <w:t xml:space="preserve"> </w:t>
      </w:r>
      <w:r w:rsidRPr="00F55125">
        <w:t xml:space="preserve">Appearing before the Board were Sanders Colbert, on behalf of Civeo, and Russ Stutes, III, on behalf of Hollie Howard, in her capacity as Director for the Calcasieu Parish School Board Sales and Use Tax Department, the Calcasieu Parish School Board Sales and Use Tax Department, and the Southwest Louisiana Convention and Visitors Bureau, (collectively, the “Collector”). At the Conclusion of the hearing, the Board took the matter under advisement. The Board now issues the following </w:t>
      </w:r>
      <w:r w:rsidR="00036858">
        <w:t>Written R</w:t>
      </w:r>
      <w:r w:rsidRPr="00F55125">
        <w:t xml:space="preserve">easons for </w:t>
      </w:r>
      <w:r w:rsidR="00036858">
        <w:t>Judgment</w:t>
      </w:r>
      <w:r w:rsidRPr="00F55125">
        <w:t>.</w:t>
      </w:r>
    </w:p>
    <w:p w14:paraId="1CB37EE0" w14:textId="248BB11B" w:rsidR="00F568DB" w:rsidRPr="00591ED2" w:rsidRDefault="00F568DB" w:rsidP="008345E8">
      <w:pPr>
        <w:pStyle w:val="Heading2"/>
        <w:rPr>
          <w:i/>
        </w:rPr>
      </w:pPr>
      <w:r w:rsidRPr="00591ED2">
        <w:t>Background</w:t>
      </w:r>
    </w:p>
    <w:p w14:paraId="36B9FD57" w14:textId="5E62E376" w:rsidR="00381D04" w:rsidRDefault="00345C61" w:rsidP="008345E8">
      <w:r>
        <w:t>On October 6, 2016, Sun Towing, LLC</w:t>
      </w:r>
      <w:r w:rsidR="0006121A">
        <w:t xml:space="preserve"> (“Sun”)</w:t>
      </w:r>
      <w:r w:rsidR="00D57763">
        <w:t xml:space="preserve">, as </w:t>
      </w:r>
      <w:r w:rsidR="00381D04">
        <w:t>L</w:t>
      </w:r>
      <w:r w:rsidR="00D57763">
        <w:t>essor,</w:t>
      </w:r>
      <w:r>
        <w:t xml:space="preserve"> entered into a Development and Lease Agreement (“Lease”)</w:t>
      </w:r>
      <w:r w:rsidR="00D57763">
        <w:t xml:space="preserve"> with LACC, LLC</w:t>
      </w:r>
      <w:r w:rsidR="00AD70CA">
        <w:t xml:space="preserve"> (“LACC”)</w:t>
      </w:r>
      <w:r w:rsidR="00D57763">
        <w:t xml:space="preserve">, as </w:t>
      </w:r>
      <w:r w:rsidR="00381D04">
        <w:t>L</w:t>
      </w:r>
      <w:r w:rsidR="00D57763">
        <w:t>essee</w:t>
      </w:r>
      <w:r w:rsidR="00A958ED">
        <w:t>. The Lease provided that the Lessor would construct</w:t>
      </w:r>
      <w:r w:rsidR="003A7BD9">
        <w:rPr>
          <w:rStyle w:val="FootnoteReference"/>
        </w:rPr>
        <w:footnoteReference w:id="3"/>
      </w:r>
      <w:r w:rsidR="00A958ED">
        <w:t xml:space="preserve"> and install living quarters within a mobile home park located at 2210 and </w:t>
      </w:r>
      <w:r w:rsidR="00A958ED">
        <w:lastRenderedPageBreak/>
        <w:t>2211 Patton Street in Sulphur, Louisiana</w:t>
      </w:r>
      <w:r w:rsidR="004C00B4">
        <w:t>,</w:t>
      </w:r>
      <w:r w:rsidR="004E7C26">
        <w:t xml:space="preserve"> which came to be known as Acadian Acres (“Acadian Acres”).</w:t>
      </w:r>
      <w:r w:rsidR="00A958ED">
        <w:t xml:space="preserve"> </w:t>
      </w:r>
      <w:r w:rsidR="004E7C26">
        <w:t xml:space="preserve">The Lessor was required to </w:t>
      </w:r>
      <w:r w:rsidR="00A958ED">
        <w:t xml:space="preserve">make </w:t>
      </w:r>
      <w:r w:rsidR="004E7C26">
        <w:t xml:space="preserve">the </w:t>
      </w:r>
      <w:r w:rsidR="00A958ED">
        <w:t>living quarters available to the Lessee for a term of 31 months</w:t>
      </w:r>
      <w:r w:rsidR="004E7C26">
        <w:t>,</w:t>
      </w:r>
      <w:r w:rsidR="00A958ED">
        <w:t xml:space="preserve"> from December 1, 2016, through June 30, 2019</w:t>
      </w:r>
      <w:r w:rsidR="00381D04">
        <w:t xml:space="preserve"> (“Lease Term”)</w:t>
      </w:r>
      <w:r w:rsidR="00AD70CA">
        <w:t>.</w:t>
      </w:r>
      <w:r w:rsidR="003A7BD9">
        <w:rPr>
          <w:rStyle w:val="FootnoteReference"/>
        </w:rPr>
        <w:footnoteReference w:id="4"/>
      </w:r>
      <w:r w:rsidR="00AD70CA">
        <w:t xml:space="preserve"> </w:t>
      </w:r>
      <w:r w:rsidR="004E7C26">
        <w:t xml:space="preserve">The purpose of the Lease </w:t>
      </w:r>
      <w:r w:rsidR="00381D04">
        <w:t xml:space="preserve">for LACC </w:t>
      </w:r>
      <w:r w:rsidR="004E7C26">
        <w:t xml:space="preserve">was to </w:t>
      </w:r>
      <w:r w:rsidR="00615F80">
        <w:t xml:space="preserve">secure </w:t>
      </w:r>
      <w:r w:rsidR="004E7C26">
        <w:t>temporary housing for employees</w:t>
      </w:r>
      <w:r w:rsidR="00381D04">
        <w:t xml:space="preserve"> and contractors near a worksite</w:t>
      </w:r>
      <w:r w:rsidR="004E7C26">
        <w:t xml:space="preserve">. </w:t>
      </w:r>
    </w:p>
    <w:p w14:paraId="7D6E6ECA" w14:textId="4C5874BA" w:rsidR="006D163F" w:rsidRDefault="00381D04" w:rsidP="008345E8">
      <w:r>
        <w:t xml:space="preserve">The original Lessor </w:t>
      </w:r>
      <w:r w:rsidR="0006121A">
        <w:t>sold Acadian Acres to Lakeland LLC (“Lakeland”)</w:t>
      </w:r>
      <w:r>
        <w:t xml:space="preserve"> and then </w:t>
      </w:r>
      <w:r w:rsidR="00A958ED">
        <w:t xml:space="preserve">Civeo acquired Acadian Acres </w:t>
      </w:r>
      <w:r w:rsidR="0006121A">
        <w:t xml:space="preserve">from Lakeland </w:t>
      </w:r>
      <w:r w:rsidR="00A958ED">
        <w:t xml:space="preserve">on February 28, 2018. </w:t>
      </w:r>
      <w:r>
        <w:t>When Civeo acquired Acadian Acres, t</w:t>
      </w:r>
      <w:r w:rsidR="00A24C45">
        <w:t xml:space="preserve">here were </w:t>
      </w:r>
      <w:r>
        <w:t xml:space="preserve">already </w:t>
      </w:r>
      <w:r w:rsidR="003A7BD9">
        <w:t xml:space="preserve">100 </w:t>
      </w:r>
      <w:r w:rsidR="00A24C45">
        <w:t xml:space="preserve">housing units (“units”) on </w:t>
      </w:r>
      <w:r>
        <w:t>the premises</w:t>
      </w:r>
      <w:r w:rsidR="00A24C45">
        <w:t>.</w:t>
      </w:r>
      <w:r w:rsidR="003A7BD9">
        <w:t xml:space="preserve"> Each unit consisted of 4 bedrooms and a common area, for a total of 400 beds on the premises. </w:t>
      </w:r>
      <w:r w:rsidR="004E7C26">
        <w:t>In acquiring Acadian Acres</w:t>
      </w:r>
      <w:r w:rsidR="00A958ED">
        <w:t>, Civeo assumed the Lease and stepped in</w:t>
      </w:r>
      <w:r w:rsidR="006F7E01">
        <w:t>to</w:t>
      </w:r>
      <w:r w:rsidR="00A958ED">
        <w:t xml:space="preserve"> the shoes of the Lessor.</w:t>
      </w:r>
      <w:r w:rsidR="004E7C26">
        <w:t xml:space="preserve"> </w:t>
      </w:r>
      <w:proofErr w:type="gramStart"/>
      <w:r w:rsidR="006F7E01">
        <w:t>As</w:t>
      </w:r>
      <w:proofErr w:type="gramEnd"/>
      <w:r w:rsidR="006F7E01">
        <w:t xml:space="preserve"> Lessor</w:t>
      </w:r>
      <w:r w:rsidR="00A24C45">
        <w:t xml:space="preserve">, Civeo </w:t>
      </w:r>
      <w:r w:rsidR="006F7E01">
        <w:t xml:space="preserve">was required </w:t>
      </w:r>
      <w:r w:rsidR="00A24C45">
        <w:t>to make a minimum number of beds per night available to LACC for use by LACC’s employees</w:t>
      </w:r>
      <w:r>
        <w:t xml:space="preserve"> and contractors</w:t>
      </w:r>
      <w:r w:rsidR="00A24C45">
        <w:t xml:space="preserve">. </w:t>
      </w:r>
    </w:p>
    <w:p w14:paraId="501DEB23" w14:textId="0D91C72B" w:rsidR="006D163F" w:rsidRDefault="00381D04" w:rsidP="008345E8">
      <w:r>
        <w:t xml:space="preserve">The units were manufactured homes. </w:t>
      </w:r>
      <w:r w:rsidR="00A24C45">
        <w:t xml:space="preserve">Outside each unit </w:t>
      </w:r>
      <w:r>
        <w:t xml:space="preserve">there </w:t>
      </w:r>
      <w:r w:rsidR="00A24C45">
        <w:t xml:space="preserve">was a small parking lot with four parking spaces. Each unit’s </w:t>
      </w:r>
      <w:r w:rsidR="006D163F">
        <w:t xml:space="preserve">common area served as </w:t>
      </w:r>
      <w:r w:rsidR="00A24C45">
        <w:t xml:space="preserve">a consolidated </w:t>
      </w:r>
      <w:r w:rsidR="006D163F">
        <w:t xml:space="preserve">living, dining, kitchen, and utility space. Civeo supplied </w:t>
      </w:r>
      <w:r w:rsidR="00A24C45">
        <w:t xml:space="preserve">the units with </w:t>
      </w:r>
      <w:r w:rsidR="006D163F">
        <w:t xml:space="preserve">utilities, air conditioning, and an internet connection. Civeo also supplied the </w:t>
      </w:r>
      <w:r w:rsidR="00A24C45">
        <w:t xml:space="preserve">units </w:t>
      </w:r>
      <w:r w:rsidR="006D163F">
        <w:t xml:space="preserve">with appliances and furnishings, such as bedding, </w:t>
      </w:r>
      <w:r w:rsidR="006D163F">
        <w:lastRenderedPageBreak/>
        <w:t xml:space="preserve">televisions, microwaves, coffee makers, mini fridges, desks, chairs, towels, and silverware. </w:t>
      </w:r>
      <w:r w:rsidR="00A24C45">
        <w:t xml:space="preserve">Civeo billed LACC for any lost or destroyed items </w:t>
      </w:r>
      <w:r w:rsidR="00615F80">
        <w:t xml:space="preserve">concurrently </w:t>
      </w:r>
      <w:r w:rsidR="00A24C45">
        <w:t xml:space="preserve">with </w:t>
      </w:r>
      <w:r w:rsidR="00615F80">
        <w:t xml:space="preserve">Civeo’s </w:t>
      </w:r>
      <w:r w:rsidR="00A24C45">
        <w:t>monthly invoices</w:t>
      </w:r>
      <w:r w:rsidR="00615F80">
        <w:t xml:space="preserve"> for rent</w:t>
      </w:r>
      <w:r w:rsidR="00A24C45">
        <w:t>.</w:t>
      </w:r>
      <w:r w:rsidR="00AD7366">
        <w:t xml:space="preserve"> Civeo also implemented a response plan for its own employees in the event of emergencies including fire, flood, injury, terrorist attack, and other natural and non-natural disasters.</w:t>
      </w:r>
    </w:p>
    <w:p w14:paraId="109D2AF4" w14:textId="35E79ABA" w:rsidR="006D163F" w:rsidRDefault="006D163F" w:rsidP="008345E8">
      <w:r>
        <w:t>LACC’s employees were not permitted to bring pets, family, or other visitors onsite.</w:t>
      </w:r>
      <w:r w:rsidR="00A24C45">
        <w:t xml:space="preserve"> LACC’s employees could not alter the units or make changes to their bedrooms.</w:t>
      </w:r>
      <w:r>
        <w:t xml:space="preserve"> </w:t>
      </w:r>
      <w:r w:rsidR="0006121A">
        <w:t xml:space="preserve">The employees were prohibited from receiving mail at their units. </w:t>
      </w:r>
      <w:r w:rsidR="00A24C45">
        <w:t>E</w:t>
      </w:r>
      <w:r>
        <w:t xml:space="preserve">mployees were responsible for </w:t>
      </w:r>
      <w:r w:rsidR="00A24C45">
        <w:t xml:space="preserve">daily cleaning, including </w:t>
      </w:r>
      <w:r>
        <w:t xml:space="preserve">washing and maintaining their sheets and towels with the washers and dryers provided. </w:t>
      </w:r>
      <w:r w:rsidR="00A24C45">
        <w:t>Civeo only cleaned bedrooms or units after an employee checked out.</w:t>
      </w:r>
    </w:p>
    <w:p w14:paraId="3AA80A3D" w14:textId="3335DFD8" w:rsidR="00510509" w:rsidRDefault="00AD70CA" w:rsidP="008345E8">
      <w:r>
        <w:t>T</w:t>
      </w:r>
      <w:r w:rsidR="005D1B72">
        <w:t xml:space="preserve">he Lease </w:t>
      </w:r>
      <w:r>
        <w:t>include</w:t>
      </w:r>
      <w:r w:rsidR="0006121A">
        <w:t>d</w:t>
      </w:r>
      <w:r>
        <w:t xml:space="preserve"> the </w:t>
      </w:r>
      <w:r w:rsidR="005D1B72">
        <w:t>following</w:t>
      </w:r>
      <w:r>
        <w:t xml:space="preserve"> provisions</w:t>
      </w:r>
      <w:r w:rsidR="005D1B72">
        <w:t>:</w:t>
      </w:r>
    </w:p>
    <w:p w14:paraId="5B1C860F" w14:textId="0B96919F" w:rsidR="005D1B72" w:rsidRDefault="005D1B72" w:rsidP="00E3574E">
      <w:pPr>
        <w:spacing w:line="360" w:lineRule="auto"/>
        <w:ind w:left="720" w:right="720" w:firstLine="0"/>
        <w:jc w:val="both"/>
      </w:pPr>
      <w:r>
        <w:t xml:space="preserve">5. </w:t>
      </w:r>
      <w:r w:rsidRPr="005D1B72">
        <w:t>Additional Services</w:t>
      </w:r>
      <w:r>
        <w:t>.</w:t>
      </w:r>
    </w:p>
    <w:p w14:paraId="6EDAB674" w14:textId="70E7E705" w:rsidR="005D1B72" w:rsidRDefault="005D1B72" w:rsidP="00E3574E">
      <w:pPr>
        <w:spacing w:line="360" w:lineRule="auto"/>
        <w:ind w:left="720" w:right="720" w:firstLine="0"/>
        <w:jc w:val="both"/>
      </w:pPr>
      <w:r>
        <w:t xml:space="preserve">a. Developer shall provide through the Term of this Agreement, at its expense, one (1) security guard on a </w:t>
      </w:r>
      <w:proofErr w:type="gramStart"/>
      <w:r>
        <w:t>24 hour</w:t>
      </w:r>
      <w:proofErr w:type="gramEnd"/>
      <w:r>
        <w:t xml:space="preserve">, 7 day a week basis </w:t>
      </w:r>
      <w:proofErr w:type="gramStart"/>
      <w:r>
        <w:t>in order to</w:t>
      </w:r>
      <w:proofErr w:type="gramEnd"/>
      <w:r>
        <w:t xml:space="preserve"> provide for security on the Property. Any expenses related to additional security guards shall be the sole responsibility of LACC and LACC agrees to provide sufficient security guards on the Lease Premises to ensure the public safety of the Residents. For clarification purposes only, LACC’s obligation to provide security shall not apply to Phases III or IV up and until LACC has exercised its rights to such property and the Housing Units have been installed and formally included in the Lease Premises.</w:t>
      </w:r>
    </w:p>
    <w:p w14:paraId="5E56E90E" w14:textId="77777777" w:rsidR="005D1B72" w:rsidRDefault="005D1B72" w:rsidP="00E3574E">
      <w:pPr>
        <w:spacing w:line="360" w:lineRule="auto"/>
        <w:ind w:left="720" w:right="720" w:firstLine="0"/>
        <w:jc w:val="both"/>
      </w:pPr>
    </w:p>
    <w:p w14:paraId="7C210E0E" w14:textId="0715BD9F" w:rsidR="00510509" w:rsidRPr="00A93686" w:rsidRDefault="005D1B72" w:rsidP="00A93686">
      <w:pPr>
        <w:pStyle w:val="Quote"/>
      </w:pPr>
      <w:r w:rsidRPr="00A93686">
        <w:lastRenderedPageBreak/>
        <w:t>b. The Developer, at its expense, will provide cleaning services for the Housing</w:t>
      </w:r>
      <w:r w:rsidR="00276A27" w:rsidRPr="00A93686">
        <w:t xml:space="preserve"> </w:t>
      </w:r>
      <w:r w:rsidRPr="00A93686">
        <w:t>Units. However, the Developer’s obligation to provide these cleaning services shall only apply in those instances where a Resident has been moved either in or out of the Lease Premises or relocated to a different Housing Unit within the Lease Premises. All other expenses related to the cleaning of the Housing Units shall be the sole responsibility of LACC</w:t>
      </w:r>
      <w:proofErr w:type="gramStart"/>
      <w:r w:rsidRPr="00A93686">
        <w:t>.</w:t>
      </w:r>
      <w:r w:rsidR="00A93686" w:rsidRPr="00A93686">
        <w:t xml:space="preserve"> . . .</w:t>
      </w:r>
      <w:proofErr w:type="gramEnd"/>
    </w:p>
    <w:p w14:paraId="2E90E55A" w14:textId="7A533E1E" w:rsidR="00510509" w:rsidRDefault="00510509" w:rsidP="00A93686">
      <w:pPr>
        <w:spacing w:line="360" w:lineRule="auto"/>
        <w:ind w:left="720" w:right="720" w:firstLine="0"/>
        <w:jc w:val="both"/>
      </w:pPr>
      <w:r>
        <w:t>6.</w:t>
      </w:r>
      <w:r w:rsidR="00E3574E">
        <w:t xml:space="preserve"> </w:t>
      </w:r>
      <w:r>
        <w:t>General Obligations of the Parties</w:t>
      </w:r>
      <w:proofErr w:type="gramStart"/>
      <w:r w:rsidR="00A93686">
        <w:t>. . . .</w:t>
      </w:r>
      <w:proofErr w:type="gramEnd"/>
    </w:p>
    <w:p w14:paraId="21D5688A" w14:textId="4D8EF6FA" w:rsidR="00A6303B" w:rsidRDefault="00510509" w:rsidP="00E3574E">
      <w:pPr>
        <w:spacing w:line="360" w:lineRule="auto"/>
        <w:ind w:left="720" w:right="720" w:firstLine="0"/>
        <w:jc w:val="both"/>
      </w:pPr>
      <w:r>
        <w:t>b.</w:t>
      </w:r>
      <w:r w:rsidR="00E3574E">
        <w:t xml:space="preserve"> </w:t>
      </w:r>
      <w:r>
        <w:t xml:space="preserve">All Residents shall first </w:t>
      </w:r>
      <w:proofErr w:type="gramStart"/>
      <w:r>
        <w:t>check-in</w:t>
      </w:r>
      <w:proofErr w:type="gramEnd"/>
      <w:r>
        <w:t xml:space="preserve"> with the Developer prior to moving </w:t>
      </w:r>
      <w:proofErr w:type="gramStart"/>
      <w:r>
        <w:t>in to</w:t>
      </w:r>
      <w:proofErr w:type="gramEnd"/>
      <w:r>
        <w:t xml:space="preserve"> the Housing Units and the Developer shall be permitted to designate and relocate the Residents into specific Housing Units on the Property at its reasonable discretion. However, the Developer agrees not to relocate any Residents without first notifying LACC of its intent and reasoning for such relocation.</w:t>
      </w:r>
    </w:p>
    <w:p w14:paraId="6A4B35AD" w14:textId="27145361" w:rsidR="008914AD" w:rsidRDefault="008914AD" w:rsidP="008345E8">
      <w:r>
        <w:t xml:space="preserve">According to the deposition of Civeo’s corporate representative, William “Troy” Roussell, LACC would email a weekly roster of employees authorized to stay at Acadian Acres. </w:t>
      </w:r>
      <w:r w:rsidR="005D5031">
        <w:t>LACC’s employees</w:t>
      </w:r>
      <w:r w:rsidR="00AD70CA">
        <w:t>, upon arrival,</w:t>
      </w:r>
      <w:r w:rsidR="005D5031">
        <w:t xml:space="preserve"> </w:t>
      </w:r>
      <w:r>
        <w:t>would go</w:t>
      </w:r>
      <w:r w:rsidR="00B153F8">
        <w:t xml:space="preserve"> to</w:t>
      </w:r>
      <w:r>
        <w:t xml:space="preserve"> Civeo’s front desk and present identification. Civeo’s site manager would verify </w:t>
      </w:r>
      <w:r w:rsidR="004E7C26">
        <w:t xml:space="preserve">that the employee was </w:t>
      </w:r>
      <w:r>
        <w:t>authorized to stay</w:t>
      </w:r>
      <w:r w:rsidR="004E7C26">
        <w:t xml:space="preserve"> on the premises</w:t>
      </w:r>
      <w:r>
        <w:t xml:space="preserve">. If the </w:t>
      </w:r>
      <w:r w:rsidR="004E7C26">
        <w:t xml:space="preserve">employee </w:t>
      </w:r>
      <w:r>
        <w:t xml:space="preserve">did not appear on the </w:t>
      </w:r>
      <w:r w:rsidR="004E7C26">
        <w:t xml:space="preserve">weekly </w:t>
      </w:r>
      <w:r>
        <w:t xml:space="preserve">roster, then </w:t>
      </w:r>
      <w:r w:rsidR="004E7C26">
        <w:t xml:space="preserve">Civeo’s </w:t>
      </w:r>
      <w:r>
        <w:t>manager was required to call LACC</w:t>
      </w:r>
      <w:r w:rsidR="004E7C26">
        <w:t>. LACC could then</w:t>
      </w:r>
      <w:r>
        <w:t xml:space="preserve"> confirm</w:t>
      </w:r>
      <w:r w:rsidR="004E7C26">
        <w:t xml:space="preserve"> </w:t>
      </w:r>
      <w:r w:rsidR="00381D04">
        <w:t xml:space="preserve">or deny </w:t>
      </w:r>
      <w:r w:rsidR="004E7C26">
        <w:t>that the employee was authorized to s</w:t>
      </w:r>
      <w:r w:rsidR="00381D04">
        <w:t>t</w:t>
      </w:r>
      <w:r w:rsidR="004E7C26">
        <w:t>ay</w:t>
      </w:r>
      <w:r>
        <w:t xml:space="preserve">. </w:t>
      </w:r>
      <w:r w:rsidR="00381D04">
        <w:t xml:space="preserve">Upon </w:t>
      </w:r>
      <w:r>
        <w:t>verifi</w:t>
      </w:r>
      <w:r w:rsidR="00381D04">
        <w:t>cation</w:t>
      </w:r>
      <w:r>
        <w:t xml:space="preserve"> or confirm</w:t>
      </w:r>
      <w:r w:rsidR="00381D04">
        <w:t>ation</w:t>
      </w:r>
      <w:r>
        <w:t xml:space="preserve">, the </w:t>
      </w:r>
      <w:r w:rsidR="004E7C26">
        <w:t xml:space="preserve">employee had </w:t>
      </w:r>
      <w:r>
        <w:t xml:space="preserve">to sign </w:t>
      </w:r>
      <w:r w:rsidR="009C4DF0">
        <w:t>Civeo’s Work Site Living Quarters Rules</w:t>
      </w:r>
      <w:r>
        <w:t>. Civeo then provide</w:t>
      </w:r>
      <w:r w:rsidR="004E7C26">
        <w:t>d</w:t>
      </w:r>
      <w:r>
        <w:t xml:space="preserve"> the </w:t>
      </w:r>
      <w:r w:rsidR="004E7C26">
        <w:t xml:space="preserve">employee </w:t>
      </w:r>
      <w:r>
        <w:t>with a key and show</w:t>
      </w:r>
      <w:r w:rsidR="004E7C26">
        <w:t>ed</w:t>
      </w:r>
      <w:r>
        <w:t xml:space="preserve"> them to their </w:t>
      </w:r>
      <w:r w:rsidR="004E7C26">
        <w:t>unit</w:t>
      </w:r>
      <w:r>
        <w:t>.</w:t>
      </w:r>
      <w:r w:rsidR="0006121A">
        <w:t xml:space="preserve"> Employees were not allowed to make copies of the</w:t>
      </w:r>
      <w:r w:rsidR="00381D04">
        <w:t xml:space="preserve"> unit’s</w:t>
      </w:r>
      <w:r w:rsidR="0006121A">
        <w:t xml:space="preserve"> key.</w:t>
      </w:r>
    </w:p>
    <w:p w14:paraId="14909397" w14:textId="0B614E4E" w:rsidR="00AD7366" w:rsidRDefault="00AD7366" w:rsidP="008345E8">
      <w:r>
        <w:lastRenderedPageBreak/>
        <w:t xml:space="preserve">The Lease </w:t>
      </w:r>
      <w:proofErr w:type="gramStart"/>
      <w:r>
        <w:t>required</w:t>
      </w:r>
      <w:proofErr w:type="gramEnd"/>
      <w:r>
        <w:t xml:space="preserve"> LACC to pay rent to Civeo </w:t>
      </w:r>
      <w:r w:rsidR="005E0D7B">
        <w:t>monthly</w:t>
      </w:r>
      <w:r>
        <w:t>. Civeo issued monthly invoices</w:t>
      </w:r>
      <w:r w:rsidR="00615F80">
        <w:t xml:space="preserve"> to</w:t>
      </w:r>
      <w:r>
        <w:t xml:space="preserve"> LACC for the number of bed-nights utilized each month, plus the costs of replacement inventory. The Lease required that LACC pay a rate of $51.81 per bed-night utilized (</w:t>
      </w:r>
      <w:r w:rsidRPr="003A7BD9">
        <w:rPr>
          <w:i/>
          <w:iCs/>
        </w:rPr>
        <w:t>i.e.</w:t>
      </w:r>
      <w:r>
        <w:t xml:space="preserve"> occupied). The Lease recited that the Lessor would make available, and the Lessee would </w:t>
      </w:r>
      <w:proofErr w:type="gramStart"/>
      <w:r>
        <w:t>utilize,</w:t>
      </w:r>
      <w:proofErr w:type="gramEnd"/>
      <w:r>
        <w:t xml:space="preserve"> a total of 300,000 bed-nights during the </w:t>
      </w:r>
      <w:r w:rsidR="00381D04">
        <w:t>Lease Term</w:t>
      </w:r>
      <w:r>
        <w:t xml:space="preserve">. If </w:t>
      </w:r>
      <w:r w:rsidR="00C7320D">
        <w:t>the Lessee utilize</w:t>
      </w:r>
      <w:r w:rsidR="00381D04">
        <w:t>d fewer than</w:t>
      </w:r>
      <w:r w:rsidR="00C7320D">
        <w:t xml:space="preserve"> 300,000 bed-nights by the end of the Lease </w:t>
      </w:r>
      <w:r w:rsidR="00381D04">
        <w:t>T</w:t>
      </w:r>
      <w:r w:rsidR="00C7320D">
        <w:t xml:space="preserve">erm, then the Lessee was </w:t>
      </w:r>
      <w:r>
        <w:t xml:space="preserve">required to </w:t>
      </w:r>
      <w:r w:rsidR="00C7320D">
        <w:t xml:space="preserve">make a terminal payment in an amount equal to </w:t>
      </w:r>
      <w:r>
        <w:t>$15,544,235 minus the rent</w:t>
      </w:r>
      <w:r w:rsidR="00C7320D">
        <w:t xml:space="preserve"> the Lessee had</w:t>
      </w:r>
      <w:r>
        <w:t xml:space="preserve"> </w:t>
      </w:r>
      <w:r w:rsidR="00C7320D">
        <w:t xml:space="preserve">already </w:t>
      </w:r>
      <w:r>
        <w:t>paid.</w:t>
      </w:r>
    </w:p>
    <w:p w14:paraId="097AD58F" w14:textId="522D4D86" w:rsidR="00AD7366" w:rsidRDefault="00AD7366" w:rsidP="008345E8">
      <w:r>
        <w:t xml:space="preserve">Between March 1, 2018, and May 31, 2019, LACC made payments of $7,372,072.57 to Civeo under the Lease. In June 2019, the last month of the </w:t>
      </w:r>
      <w:r w:rsidR="00C7320D">
        <w:t>Lease</w:t>
      </w:r>
      <w:r w:rsidR="00381D04">
        <w:t xml:space="preserve"> Term</w:t>
      </w:r>
      <w:r>
        <w:t xml:space="preserve">, LACC paid Civeo a total of $4,496,271.83.  The </w:t>
      </w:r>
      <w:r w:rsidR="008A4895">
        <w:t xml:space="preserve">June 2019 </w:t>
      </w:r>
      <w:r>
        <w:t xml:space="preserve">payment covered both the bed-nights utilized by LACC’s employees that month, plus the </w:t>
      </w:r>
      <w:r w:rsidR="008A4895">
        <w:t xml:space="preserve">terminal </w:t>
      </w:r>
      <w:r>
        <w:t>payment required under the Lease. In total, Civeo received $11,868,344.40 in rent payments. At some point after the Lease terminated, Civeo sold Acadian Acres.</w:t>
      </w:r>
    </w:p>
    <w:p w14:paraId="0C4667D4" w14:textId="4EB0F4E1" w:rsidR="00A804A0" w:rsidRDefault="00AD7366" w:rsidP="008345E8">
      <w:r>
        <w:t xml:space="preserve">On March 31, 2021, the Collector issued a Notice of Routine Audit </w:t>
      </w:r>
      <w:r w:rsidR="008A4895">
        <w:t xml:space="preserve">to Civeo </w:t>
      </w:r>
      <w:r>
        <w:t>for the</w:t>
      </w:r>
      <w:r w:rsidR="00935BF0">
        <w:t xml:space="preserve"> sales and use</w:t>
      </w:r>
      <w:r>
        <w:t xml:space="preserve"> tax periods December 1, 2017</w:t>
      </w:r>
      <w:r w:rsidR="008A4895">
        <w:t>,</w:t>
      </w:r>
      <w:r>
        <w:t xml:space="preserve"> through December 31, 2020. O</w:t>
      </w:r>
      <w:r w:rsidR="00A804A0">
        <w:t xml:space="preserve">n October 26, 2021, Civeo and the Collector entered into an </w:t>
      </w:r>
      <w:r w:rsidR="008A4895">
        <w:t>a</w:t>
      </w:r>
      <w:r w:rsidR="00A804A0">
        <w:t xml:space="preserve">greement to </w:t>
      </w:r>
      <w:r w:rsidR="008A4895">
        <w:t>s</w:t>
      </w:r>
      <w:r w:rsidR="00A804A0">
        <w:t xml:space="preserve">uspend </w:t>
      </w:r>
      <w:proofErr w:type="gramStart"/>
      <w:r w:rsidR="008A4895">
        <w:t>p</w:t>
      </w:r>
      <w:r w:rsidR="00A804A0">
        <w:t>rescription</w:t>
      </w:r>
      <w:proofErr w:type="gramEnd"/>
      <w:r w:rsidR="00A804A0">
        <w:t xml:space="preserve"> </w:t>
      </w:r>
      <w:r w:rsidR="008A4895">
        <w:t xml:space="preserve">through December 31, 2022, for </w:t>
      </w:r>
      <w:r w:rsidR="00A804A0">
        <w:t xml:space="preserve">occupancy taxes </w:t>
      </w:r>
      <w:r w:rsidR="008A4895">
        <w:t>f</w:t>
      </w:r>
      <w:r w:rsidR="00A804A0">
        <w:t xml:space="preserve">or the taxable periods from January 1, 2018, through December 31, 2018.  On November 11, 2022, Civeo and the Collector entered into another </w:t>
      </w:r>
      <w:r w:rsidR="008A4895">
        <w:t xml:space="preserve">agreement to suspend prescription </w:t>
      </w:r>
      <w:r w:rsidR="00A804A0">
        <w:t xml:space="preserve">as to occupancy taxes </w:t>
      </w:r>
      <w:r w:rsidR="008A4895">
        <w:t xml:space="preserve">through June 30, 2023, </w:t>
      </w:r>
      <w:r w:rsidR="00A804A0">
        <w:t xml:space="preserve">for the taxable periods from December 1, 2017, through December 31, 2019.  On June 13, 2023, Civeo and the </w:t>
      </w:r>
      <w:r w:rsidR="00A804A0">
        <w:lastRenderedPageBreak/>
        <w:t xml:space="preserve">Collector entered into </w:t>
      </w:r>
      <w:r w:rsidR="008A4895">
        <w:t xml:space="preserve">a third agreement to suspend prescription </w:t>
      </w:r>
      <w:r w:rsidR="00A804A0">
        <w:t xml:space="preserve">as to occupancy taxes </w:t>
      </w:r>
      <w:r w:rsidR="008A4895">
        <w:t xml:space="preserve">through December 31, 2023, </w:t>
      </w:r>
      <w:r w:rsidR="00A804A0">
        <w:t xml:space="preserve">for the taxable periods from December 1, 2017, through December 31, 2019. Civeo did not enter into any </w:t>
      </w:r>
      <w:r w:rsidR="008A4895">
        <w:t xml:space="preserve">further </w:t>
      </w:r>
      <w:r w:rsidR="00A804A0">
        <w:t xml:space="preserve">agreements affecting </w:t>
      </w:r>
      <w:r w:rsidR="008A4895">
        <w:t xml:space="preserve">the </w:t>
      </w:r>
      <w:r w:rsidR="00A804A0">
        <w:t xml:space="preserve">prescription of occupancy taxes. </w:t>
      </w:r>
    </w:p>
    <w:p w14:paraId="3378D469" w14:textId="2428ED97" w:rsidR="00A958ED" w:rsidRDefault="00A958ED" w:rsidP="008345E8">
      <w:r>
        <w:t xml:space="preserve">On December 20, 2023, the Collector issued a Notice of Assessment (“Sales Tax </w:t>
      </w:r>
      <w:r w:rsidR="00106F9D">
        <w:t>Notice</w:t>
      </w:r>
      <w:r>
        <w:t xml:space="preserve">”) </w:t>
      </w:r>
      <w:r w:rsidR="00591ED2">
        <w:t xml:space="preserve">to Civeo reflecting liability for </w:t>
      </w:r>
      <w:r>
        <w:t>sales tax in the amount of $727,950.62, interest in the amount of $551,210.87, and penalt</w:t>
      </w:r>
      <w:r w:rsidR="005D5031">
        <w:t>ies</w:t>
      </w:r>
      <w:r>
        <w:t xml:space="preserve"> in the amount of $181,987.65 for the taxable periods from December 1, 2017, through December 31, 2020</w:t>
      </w:r>
      <w:r w:rsidR="00191FC1">
        <w:t xml:space="preserve"> (the “Tax Periods at Issue”)</w:t>
      </w:r>
      <w:r>
        <w:t>.</w:t>
      </w:r>
      <w:r w:rsidR="00BA23B2">
        <w:t xml:space="preserve"> </w:t>
      </w:r>
      <w:r w:rsidR="00903550">
        <w:t xml:space="preserve">Of the amounts shown in </w:t>
      </w:r>
      <w:r>
        <w:t xml:space="preserve">the </w:t>
      </w:r>
      <w:r w:rsidR="00106F9D">
        <w:t>Sales Tax Notice</w:t>
      </w:r>
      <w:r w:rsidR="00903550">
        <w:t>,</w:t>
      </w:r>
      <w:r w:rsidR="004E7C26">
        <w:t xml:space="preserve"> </w:t>
      </w:r>
      <w:r>
        <w:t>$682,429.80 in sales tax</w:t>
      </w:r>
      <w:r w:rsidR="00591ED2">
        <w:t>,</w:t>
      </w:r>
      <w:r w:rsidR="00BA23B2">
        <w:t xml:space="preserve"> </w:t>
      </w:r>
      <w:r>
        <w:t>$170,607.46 in penalt</w:t>
      </w:r>
      <w:r w:rsidR="00613B72">
        <w:t>ies</w:t>
      </w:r>
      <w:r>
        <w:t xml:space="preserve">, and $522,789.72 in interest </w:t>
      </w:r>
      <w:r w:rsidR="00F90A53">
        <w:t>a</w:t>
      </w:r>
      <w:r w:rsidR="00903550">
        <w:t xml:space="preserve">re </w:t>
      </w:r>
      <w:r>
        <w:t xml:space="preserve">attributable to </w:t>
      </w:r>
      <w:r w:rsidR="00903550">
        <w:t>the Lease payments and are the subject of Civeo’s appeal</w:t>
      </w:r>
      <w:r w:rsidR="00A804A0">
        <w:t xml:space="preserve">. On February 16, 2024, Civeo </w:t>
      </w:r>
      <w:r w:rsidR="00903550">
        <w:t xml:space="preserve">filed its Petition with </w:t>
      </w:r>
      <w:r w:rsidR="00A804A0">
        <w:t xml:space="preserve">the Board </w:t>
      </w:r>
      <w:r w:rsidR="00903550">
        <w:t xml:space="preserve">concerning </w:t>
      </w:r>
      <w:r w:rsidR="00A804A0">
        <w:t xml:space="preserve">the </w:t>
      </w:r>
      <w:r w:rsidR="00903550">
        <w:t xml:space="preserve">disputed amounts in the </w:t>
      </w:r>
      <w:r w:rsidR="00A804A0">
        <w:t xml:space="preserve">Sales Tax Notice. Civeo’s </w:t>
      </w:r>
      <w:r w:rsidR="00903550">
        <w:t xml:space="preserve">Petition </w:t>
      </w:r>
      <w:r w:rsidR="00A804A0">
        <w:t>appeal</w:t>
      </w:r>
      <w:r w:rsidR="00903550">
        <w:t>ing</w:t>
      </w:r>
      <w:r w:rsidR="00A804A0">
        <w:t xml:space="preserve"> the assessment of sales tax was assigned BTA Docket No. L02026.</w:t>
      </w:r>
    </w:p>
    <w:p w14:paraId="29226114" w14:textId="2F03ED97" w:rsidR="00613B72" w:rsidRDefault="00A958ED" w:rsidP="008345E8">
      <w:r w:rsidRPr="00106F9D">
        <w:t>On D</w:t>
      </w:r>
      <w:r>
        <w:t>ecember 20, 2023, the Collector issued a Notice of Assessment</w:t>
      </w:r>
      <w:r w:rsidR="00BA23B2">
        <w:t xml:space="preserve"> for occupancy (hotel/motel) tax</w:t>
      </w:r>
      <w:r>
        <w:t xml:space="preserve"> (“Occupancy Tax </w:t>
      </w:r>
      <w:r w:rsidR="00106F9D">
        <w:t>Notice</w:t>
      </w:r>
      <w:r>
        <w:t>”)</w:t>
      </w:r>
      <w:r w:rsidR="00591ED2" w:rsidRPr="00591ED2">
        <w:t xml:space="preserve"> </w:t>
      </w:r>
      <w:r w:rsidR="00591ED2">
        <w:t>to Civeo</w:t>
      </w:r>
      <w:r w:rsidR="00BA23B2">
        <w:t>. The Occupancy Tax Notice</w:t>
      </w:r>
      <w:r>
        <w:t xml:space="preserve"> stated that </w:t>
      </w:r>
      <w:r w:rsidR="00BA23B2">
        <w:t xml:space="preserve">the Collector </w:t>
      </w:r>
      <w:r>
        <w:t xml:space="preserve">“proposes to assess” </w:t>
      </w:r>
      <w:r w:rsidR="00BA23B2">
        <w:t xml:space="preserve">the </w:t>
      </w:r>
      <w:r>
        <w:t>occupancy (hotel/motel) tax in the amount of $527,444.77, interest in the amount of $391,281.86, and penalt</w:t>
      </w:r>
      <w:r w:rsidR="00613B72">
        <w:t>ies</w:t>
      </w:r>
      <w:r>
        <w:t xml:space="preserve"> in the amount of $131,861.21 for the </w:t>
      </w:r>
      <w:r w:rsidR="00191FC1">
        <w:t>Tax P</w:t>
      </w:r>
      <w:r>
        <w:t xml:space="preserve">eriods </w:t>
      </w:r>
      <w:r w:rsidR="00191FC1">
        <w:t>at Issue</w:t>
      </w:r>
      <w:r>
        <w:t xml:space="preserve">.  </w:t>
      </w:r>
      <w:r w:rsidR="00106F9D">
        <w:t>Of the amounts alleged to be due in the Occupancy Tax Notice, $517,638.27 in occupancy tax, $129,409.59 in penalt</w:t>
      </w:r>
      <w:r w:rsidR="00613B72">
        <w:t>ies</w:t>
      </w:r>
      <w:r w:rsidR="00106F9D">
        <w:t>, and $386,122.24 in interest are attributable to the amounts paid to Civeo pursuant to the Lease</w:t>
      </w:r>
      <w:r w:rsidR="00591ED2">
        <w:t xml:space="preserve"> and are at issue in these consolidated matters</w:t>
      </w:r>
      <w:r w:rsidR="00106F9D">
        <w:t>.</w:t>
      </w:r>
      <w:r w:rsidR="00613B72">
        <w:t xml:space="preserve"> </w:t>
      </w:r>
    </w:p>
    <w:p w14:paraId="5FA227F9" w14:textId="334C31AC" w:rsidR="00252C0D" w:rsidRDefault="00106F9D" w:rsidP="008345E8">
      <w:r w:rsidRPr="00106F9D">
        <w:lastRenderedPageBreak/>
        <w:t xml:space="preserve">The instructions set forth in the </w:t>
      </w:r>
      <w:r>
        <w:t>Occupancy Tax Notice</w:t>
      </w:r>
      <w:r w:rsidRPr="00106F9D">
        <w:t xml:space="preserve"> stated that Civeo had 30 calendar days from the date of the notice to either: (1) pay the amount of the assessment, or (2) pay under protest as permitted under Section 1.10 of Occupancy Tax Ordinance No. 1 of 1996</w:t>
      </w:r>
      <w:r w:rsidR="00903550">
        <w:t xml:space="preserve"> (“1996 Ordinance”)</w:t>
      </w:r>
      <w:r w:rsidRPr="00106F9D">
        <w:t xml:space="preserve"> and Occupancy Tax Ordinance No. 1 of 2018</w:t>
      </w:r>
      <w:r w:rsidR="00903550">
        <w:t xml:space="preserve"> (“2018 Ordinance”)</w:t>
      </w:r>
      <w:r w:rsidRPr="00106F9D">
        <w:t xml:space="preserve">. </w:t>
      </w:r>
      <w:r>
        <w:t>On January 18, 2024, Civeo paid the entire amount alleged to be due in the Occupancy Tax Notice under protest</w:t>
      </w:r>
      <w:r w:rsidR="00381D04">
        <w:t xml:space="preserve"> and gave notice of its intention to sue for recovery of the protested amount</w:t>
      </w:r>
      <w:r>
        <w:t>.</w:t>
      </w:r>
      <w:r w:rsidR="00A804A0">
        <w:t xml:space="preserve"> Civeo filed </w:t>
      </w:r>
      <w:r w:rsidR="00381D04">
        <w:t>s</w:t>
      </w:r>
      <w:r w:rsidR="00591ED2">
        <w:t>a</w:t>
      </w:r>
      <w:r w:rsidR="00381D04">
        <w:t>id</w:t>
      </w:r>
      <w:r w:rsidR="00591ED2">
        <w:t xml:space="preserve"> </w:t>
      </w:r>
      <w:r w:rsidR="00A804A0">
        <w:t xml:space="preserve">Petition with the Board on February 16, 2024. </w:t>
      </w:r>
      <w:r w:rsidR="00903550">
        <w:t xml:space="preserve">Civeo’s </w:t>
      </w:r>
      <w:r w:rsidR="00A804A0">
        <w:t xml:space="preserve">Petition concerning </w:t>
      </w:r>
      <w:r w:rsidR="00591ED2">
        <w:t>the O</w:t>
      </w:r>
      <w:r w:rsidR="00A804A0">
        <w:t xml:space="preserve">ccupancy </w:t>
      </w:r>
      <w:r w:rsidR="00591ED2">
        <w:t>T</w:t>
      </w:r>
      <w:r w:rsidR="00A804A0">
        <w:t xml:space="preserve">ax </w:t>
      </w:r>
      <w:r w:rsidR="00591ED2">
        <w:t xml:space="preserve">Notice </w:t>
      </w:r>
      <w:r w:rsidR="00A804A0">
        <w:t>was assigned BTA Docket No. L02027.</w:t>
      </w:r>
    </w:p>
    <w:p w14:paraId="7FB9344E" w14:textId="2C6241E0" w:rsidR="00A804A0" w:rsidRDefault="00E54814" w:rsidP="008345E8">
      <w:r>
        <w:t xml:space="preserve">On April 8, 2024, the Collector filed Answers </w:t>
      </w:r>
      <w:r w:rsidR="00903550">
        <w:t xml:space="preserve">to </w:t>
      </w:r>
      <w:r>
        <w:t xml:space="preserve">both </w:t>
      </w:r>
      <w:r w:rsidR="00903550">
        <w:t>of Civeo’s Petitions. Later, on October 10, 2024, b</w:t>
      </w:r>
      <w:r>
        <w:t>oth matters were consolidated by Order of the Board. On August 21, 2025, Civeo filed its Motion for Summary Judgment</w:t>
      </w:r>
      <w:r w:rsidR="00903550">
        <w:t xml:space="preserve"> in the consolidated </w:t>
      </w:r>
      <w:r w:rsidR="00381D04">
        <w:t>matters</w:t>
      </w:r>
      <w:r>
        <w:t xml:space="preserve">. The Collector </w:t>
      </w:r>
      <w:r w:rsidR="00381D04">
        <w:t xml:space="preserve">opposes Civeo’s Motion for Summary </w:t>
      </w:r>
      <w:proofErr w:type="gramStart"/>
      <w:r w:rsidR="005E0D7B">
        <w:t>Judgment</w:t>
      </w:r>
      <w:proofErr w:type="gramEnd"/>
      <w:r w:rsidR="005E0D7B">
        <w:t xml:space="preserve"> but</w:t>
      </w:r>
      <w:r w:rsidR="00381D04">
        <w:t xml:space="preserve"> </w:t>
      </w:r>
      <w:r w:rsidR="005E0D7B">
        <w:t xml:space="preserve">it </w:t>
      </w:r>
      <w:r w:rsidR="00381D04">
        <w:t xml:space="preserve">has </w:t>
      </w:r>
      <w:r>
        <w:t>not file</w:t>
      </w:r>
      <w:r w:rsidR="00381D04">
        <w:t>d</w:t>
      </w:r>
      <w:r>
        <w:t xml:space="preserve"> a cross-motion for summary judgment.</w:t>
      </w:r>
    </w:p>
    <w:p w14:paraId="1CDC4EF1" w14:textId="52B0CA88" w:rsidR="006770E0" w:rsidRPr="00591ED2" w:rsidRDefault="006770E0" w:rsidP="008345E8">
      <w:pPr>
        <w:pStyle w:val="Heading2"/>
        <w:rPr>
          <w:i/>
        </w:rPr>
      </w:pPr>
      <w:r w:rsidRPr="00591ED2">
        <w:t>Summary Judgment Standard</w:t>
      </w:r>
    </w:p>
    <w:p w14:paraId="10D1FDE9" w14:textId="0CFE3F5F" w:rsidR="006770E0" w:rsidRPr="00581325" w:rsidRDefault="00581325" w:rsidP="008345E8">
      <w:r w:rsidRPr="00581325">
        <w:t>The summary judgment procedure is favored and is intended “to secure the just, speedy, and inexpensive determination of every action.” La.</w:t>
      </w:r>
      <w:r w:rsidR="00903550">
        <w:t xml:space="preserve"> C.C</w:t>
      </w:r>
      <w:r w:rsidRPr="00581325">
        <w:t xml:space="preserve">.P. art. 966(A)(2). A motion for summary judgment is properly granted if, after an opportunity for adequate discovery, </w:t>
      </w:r>
      <w:r w:rsidR="00903550">
        <w:t>“</w:t>
      </w:r>
      <w:r w:rsidRPr="00581325">
        <w:t xml:space="preserve">the motion, memorandum, and supporting documents show that there is no genuine issue as to material fact and that the mover is entitled to judgment as a matter of law.” </w:t>
      </w:r>
      <w:r w:rsidR="00903550">
        <w:t>La. C.C.</w:t>
      </w:r>
      <w:r w:rsidRPr="00581325">
        <w:t>P. art. 966(A)(3).</w:t>
      </w:r>
      <w:r>
        <w:t xml:space="preserve"> </w:t>
      </w:r>
      <w:r w:rsidR="00A61DA1">
        <w:t xml:space="preserve">Summary judgment is appropriate when </w:t>
      </w:r>
      <w:r w:rsidR="00A61DA1" w:rsidRPr="00581325">
        <w:t>the sole issue is the correct interpretation of the statutes at issue.</w:t>
      </w:r>
      <w:r w:rsidR="00A61DA1">
        <w:t xml:space="preserve"> </w:t>
      </w:r>
      <w:r w:rsidR="00A61DA1" w:rsidRPr="00A61DA1">
        <w:rPr>
          <w:i/>
          <w:iCs/>
        </w:rPr>
        <w:lastRenderedPageBreak/>
        <w:t>See 23rd Psalm Trucking, L.L.C. v. Madison Par. Police Jury</w:t>
      </w:r>
      <w:r w:rsidR="00A61DA1" w:rsidRPr="00A61DA1">
        <w:t>, 2024-00808, p. 6 (La. 6/27/25)</w:t>
      </w:r>
      <w:r w:rsidR="00A61DA1">
        <w:t>,</w:t>
      </w:r>
      <w:r w:rsidR="00A61DA1" w:rsidRPr="00A61DA1">
        <w:t xml:space="preserve"> 413 So.3d 370, 376, </w:t>
      </w:r>
      <w:r w:rsidR="00A61DA1" w:rsidRPr="00903550">
        <w:rPr>
          <w:i/>
          <w:iCs/>
        </w:rPr>
        <w:t>reh’g denied</w:t>
      </w:r>
      <w:r w:rsidR="00A61DA1" w:rsidRPr="00A61DA1">
        <w:t>, 2024-00808 (La. 9/4/25)</w:t>
      </w:r>
      <w:r w:rsidR="00A61DA1">
        <w:t>,</w:t>
      </w:r>
      <w:r w:rsidR="00A61DA1" w:rsidRPr="00A61DA1">
        <w:t xml:space="preserve"> 415 So.3d 934</w:t>
      </w:r>
      <w:r w:rsidR="00A61DA1">
        <w:t>.</w:t>
      </w:r>
    </w:p>
    <w:p w14:paraId="70090D16" w14:textId="6482C3D2" w:rsidR="00C82EE1" w:rsidRDefault="00C82EE1" w:rsidP="008345E8">
      <w:pPr>
        <w:pStyle w:val="Heading2"/>
      </w:pPr>
      <w:r>
        <w:t>Discussion</w:t>
      </w:r>
    </w:p>
    <w:p w14:paraId="7904EBE7" w14:textId="1CFD4F4D" w:rsidR="00591ED2" w:rsidRDefault="00613B72" w:rsidP="008345E8">
      <w:r>
        <w:t xml:space="preserve">Civeo </w:t>
      </w:r>
      <w:r w:rsidR="00E54814">
        <w:t xml:space="preserve">argues that </w:t>
      </w:r>
      <w:r w:rsidR="00903550">
        <w:t xml:space="preserve">it neither operated </w:t>
      </w:r>
      <w:r w:rsidR="00E54814">
        <w:t xml:space="preserve">a hotel </w:t>
      </w:r>
      <w:r w:rsidR="00903550">
        <w:t xml:space="preserve">nor </w:t>
      </w:r>
      <w:r w:rsidR="00E54814">
        <w:t>furnish</w:t>
      </w:r>
      <w:r w:rsidR="00903550">
        <w:t>ed</w:t>
      </w:r>
      <w:r w:rsidR="00E54814">
        <w:t xml:space="preserve"> sleeping rooms to transient guests</w:t>
      </w:r>
      <w:r w:rsidR="00903550">
        <w:t>.</w:t>
      </w:r>
      <w:r w:rsidR="00E54814">
        <w:t xml:space="preserve"> </w:t>
      </w:r>
      <w:r w:rsidR="00903550">
        <w:t>A</w:t>
      </w:r>
      <w:r w:rsidR="00E54814">
        <w:t>s such</w:t>
      </w:r>
      <w:r w:rsidR="001C471E">
        <w:t>,</w:t>
      </w:r>
      <w:r w:rsidR="00E54814">
        <w:t xml:space="preserve"> </w:t>
      </w:r>
      <w:r w:rsidR="00903550">
        <w:t xml:space="preserve">Civeo maintains that it </w:t>
      </w:r>
      <w:r w:rsidR="00E54814">
        <w:t>was not required to collect sales or occupancy tax on the</w:t>
      </w:r>
      <w:r w:rsidR="00191FC1">
        <w:t xml:space="preserve"> rental of the units or the payments made pursuant to the</w:t>
      </w:r>
      <w:r w:rsidR="00E54814">
        <w:t xml:space="preserve"> </w:t>
      </w:r>
      <w:r w:rsidR="00903550">
        <w:t>Lease</w:t>
      </w:r>
      <w:r>
        <w:t xml:space="preserve">. </w:t>
      </w:r>
      <w:r w:rsidR="006770E0" w:rsidRPr="009031B5">
        <w:t xml:space="preserve">Under the </w:t>
      </w:r>
      <w:r w:rsidR="00E54814">
        <w:t xml:space="preserve">sales tax </w:t>
      </w:r>
      <w:r w:rsidR="006770E0" w:rsidRPr="009031B5">
        <w:t xml:space="preserve">law in effect during the </w:t>
      </w:r>
      <w:r w:rsidR="00191FC1">
        <w:t>T</w:t>
      </w:r>
      <w:r w:rsidR="006770E0" w:rsidRPr="009031B5">
        <w:t xml:space="preserve">ax </w:t>
      </w:r>
      <w:r w:rsidR="00191FC1">
        <w:t>P</w:t>
      </w:r>
      <w:r w:rsidR="006770E0" w:rsidRPr="009031B5">
        <w:t xml:space="preserve">eriods </w:t>
      </w:r>
      <w:r w:rsidR="00191FC1">
        <w:t>at Issue</w:t>
      </w:r>
      <w:r w:rsidR="006770E0" w:rsidRPr="009031B5">
        <w:t xml:space="preserve">, </w:t>
      </w:r>
      <w:r w:rsidR="00191FC1">
        <w:t xml:space="preserve">taxable </w:t>
      </w:r>
      <w:r w:rsidR="002529A6">
        <w:t>“</w:t>
      </w:r>
      <w:r w:rsidR="006770E0" w:rsidRPr="009031B5">
        <w:t>sales of services</w:t>
      </w:r>
      <w:r w:rsidR="002529A6">
        <w:t>”</w:t>
      </w:r>
      <w:r w:rsidR="006770E0" w:rsidRPr="009031B5">
        <w:t xml:space="preserve"> </w:t>
      </w:r>
      <w:r w:rsidR="00191FC1">
        <w:t xml:space="preserve">were defined to </w:t>
      </w:r>
      <w:r w:rsidR="006770E0" w:rsidRPr="009031B5">
        <w:t xml:space="preserve">include </w:t>
      </w:r>
      <w:r w:rsidR="006770E0">
        <w:t>“</w:t>
      </w:r>
      <w:r w:rsidR="006770E0" w:rsidRPr="009031B5">
        <w:t>[t]he furnishing of sleeping rooms, cottages, or cabins by hotels.</w:t>
      </w:r>
      <w:r w:rsidR="006770E0">
        <w:t xml:space="preserve">” </w:t>
      </w:r>
      <w:r w:rsidR="006770E0" w:rsidRPr="009031B5">
        <w:t xml:space="preserve">La. R.S. 47:301(14)(a). </w:t>
      </w:r>
      <w:r w:rsidR="00591ED2">
        <w:t>The term “hotel” was defined in La. R.S. 47:301(6)(a), which stated:</w:t>
      </w:r>
    </w:p>
    <w:p w14:paraId="4CDB042A" w14:textId="77777777" w:rsidR="00591ED2" w:rsidRDefault="00591ED2" w:rsidP="00A93686">
      <w:pPr>
        <w:pStyle w:val="Quote"/>
      </w:pPr>
      <w:r>
        <w:t>“Hotel” means and includes any establishment or person engaged in the business of furnishing sleeping rooms, cottages, or cabins to transient guests, where such establishment consists of sleeping rooms, cottages, or cabins at any of the following:</w:t>
      </w:r>
    </w:p>
    <w:p w14:paraId="4DA3EECE" w14:textId="77777777" w:rsidR="00591ED2" w:rsidRDefault="00591ED2" w:rsidP="00A93686">
      <w:pPr>
        <w:pStyle w:val="Quote"/>
      </w:pPr>
      <w:r>
        <w:t>(</w:t>
      </w:r>
      <w:proofErr w:type="spellStart"/>
      <w:r>
        <w:t>i</w:t>
      </w:r>
      <w:proofErr w:type="spellEnd"/>
      <w:r>
        <w:t>) A single business location.</w:t>
      </w:r>
    </w:p>
    <w:p w14:paraId="08AFD2E6" w14:textId="77777777" w:rsidR="00591ED2" w:rsidRDefault="00591ED2" w:rsidP="00A93686">
      <w:pPr>
        <w:pStyle w:val="Quote"/>
      </w:pPr>
      <w:r>
        <w:t>(ii) A residential location, including but not limited to a house, apartment, condominium, camp, cabin, or other building structure used as a residence.</w:t>
      </w:r>
    </w:p>
    <w:p w14:paraId="46357AA9" w14:textId="21E53C7A" w:rsidR="00591ED2" w:rsidRDefault="00591ED2" w:rsidP="00A93686">
      <w:pPr>
        <w:pStyle w:val="Quote"/>
      </w:pPr>
      <w:r>
        <w:t xml:space="preserve">(iii) For purposes of this Chapter, hotel shall not mean or include any establishment or person leasing apartments or </w:t>
      </w:r>
      <w:r w:rsidR="005E0D7B">
        <w:t>single-family</w:t>
      </w:r>
      <w:r>
        <w:t xml:space="preserve"> dwelling on a month-to-month basis.</w:t>
      </w:r>
    </w:p>
    <w:p w14:paraId="66CCC9AE" w14:textId="77777777" w:rsidR="005E0D7B" w:rsidRDefault="005E0D7B" w:rsidP="008345E8"/>
    <w:p w14:paraId="6F2BCB91" w14:textId="02849745" w:rsidR="00DE147A" w:rsidRDefault="00191FC1" w:rsidP="008345E8">
      <w:r>
        <w:lastRenderedPageBreak/>
        <w:t>T</w:t>
      </w:r>
      <w:r w:rsidR="00E54814">
        <w:t xml:space="preserve">he </w:t>
      </w:r>
      <w:r>
        <w:t xml:space="preserve">substantive questions before the Board on summary judgment </w:t>
      </w:r>
      <w:r w:rsidR="00E54814">
        <w:t>are</w:t>
      </w:r>
      <w:r w:rsidR="00106EA3">
        <w:t xml:space="preserve"> whether Civeo </w:t>
      </w:r>
      <w:r w:rsidR="00591ED2">
        <w:t xml:space="preserve">operated </w:t>
      </w:r>
      <w:r w:rsidR="00106EA3">
        <w:t>a “hotel</w:t>
      </w:r>
      <w:r w:rsidR="00591ED2">
        <w:t>,</w:t>
      </w:r>
      <w:r w:rsidR="00106EA3">
        <w:t>”</w:t>
      </w:r>
      <w:r w:rsidR="00A61DA1">
        <w:t xml:space="preserve"> </w:t>
      </w:r>
      <w:r w:rsidR="00E54814">
        <w:t>and whether LACC</w:t>
      </w:r>
      <w:r w:rsidR="00591ED2">
        <w:t>,</w:t>
      </w:r>
      <w:r w:rsidR="00E54814">
        <w:t xml:space="preserve"> or its employees</w:t>
      </w:r>
      <w:r w:rsidR="00591ED2">
        <w:t>,</w:t>
      </w:r>
      <w:r w:rsidR="00E54814">
        <w:t xml:space="preserve"> </w:t>
      </w:r>
      <w:r w:rsidR="00591ED2">
        <w:t xml:space="preserve">were </w:t>
      </w:r>
      <w:r w:rsidR="00E54814">
        <w:t>“transient guests</w:t>
      </w:r>
      <w:r>
        <w:t>.</w:t>
      </w:r>
      <w:r w:rsidR="00E54814">
        <w:t xml:space="preserve">” </w:t>
      </w:r>
      <w:r w:rsidR="00591ED2">
        <w:t xml:space="preserve">Additional procedural issues are raised with respect to the </w:t>
      </w:r>
      <w:r w:rsidR="00E54814">
        <w:t xml:space="preserve">validity of the Occupancy Tax Notice, and whether the occupancy taxes </w:t>
      </w:r>
      <w:r w:rsidR="00591ED2">
        <w:t xml:space="preserve">are </w:t>
      </w:r>
      <w:r w:rsidR="00E54814">
        <w:t>prescribed.</w:t>
      </w:r>
    </w:p>
    <w:p w14:paraId="06ED0121" w14:textId="7A99241D" w:rsidR="00E54814" w:rsidRPr="00A93686" w:rsidRDefault="00E54814" w:rsidP="00A93686">
      <w:pPr>
        <w:pStyle w:val="Heading3"/>
      </w:pPr>
      <w:r w:rsidRPr="00A93686">
        <w:t>Did Civeo operate a hotel?</w:t>
      </w:r>
    </w:p>
    <w:p w14:paraId="48BC2297" w14:textId="25B01615" w:rsidR="005F3D10" w:rsidRDefault="00613B72" w:rsidP="008345E8">
      <w:r>
        <w:t xml:space="preserve">Louisiana courts have </w:t>
      </w:r>
      <w:r w:rsidR="00591ED2">
        <w:t xml:space="preserve">held that the operator of a </w:t>
      </w:r>
      <w:r w:rsidR="00A61DA1">
        <w:t xml:space="preserve">hotel </w:t>
      </w:r>
      <w:r w:rsidR="00591ED2">
        <w:t xml:space="preserve">for purposes of local sales and use tax is the one who </w:t>
      </w:r>
      <w:r w:rsidR="00A61DA1">
        <w:t>control</w:t>
      </w:r>
      <w:r w:rsidR="00591ED2">
        <w:t>s</w:t>
      </w:r>
      <w:r w:rsidR="00A61DA1">
        <w:t xml:space="preserve"> and </w:t>
      </w:r>
      <w:r w:rsidR="00591ED2">
        <w:t xml:space="preserve">operates the </w:t>
      </w:r>
      <w:r w:rsidR="00A61DA1">
        <w:t>physical “establishment”</w:t>
      </w:r>
      <w:r w:rsidR="00591ED2">
        <w:t xml:space="preserve"> where guests are lodged.</w:t>
      </w:r>
      <w:r w:rsidR="00A61DA1">
        <w:t xml:space="preserve"> </w:t>
      </w:r>
      <w:r w:rsidR="00F40CB5">
        <w:t xml:space="preserve">In </w:t>
      </w:r>
      <w:r w:rsidR="00F40CB5" w:rsidRPr="00435EB0">
        <w:rPr>
          <w:i/>
          <w:iCs/>
        </w:rPr>
        <w:t>Lopinto v. Expedia, Inc. (WA)</w:t>
      </w:r>
      <w:r w:rsidR="00F40CB5">
        <w:t xml:space="preserve">, 21-132 (La. App. 5 Cir. 12/23/21), 335 So.3d 432, the </w:t>
      </w:r>
      <w:r w:rsidR="005F3D10">
        <w:t xml:space="preserve">Fifth </w:t>
      </w:r>
      <w:r w:rsidR="00F40CB5">
        <w:t xml:space="preserve">Circuit held that an online booking company </w:t>
      </w:r>
      <w:r w:rsidR="00A03D13">
        <w:t xml:space="preserve">was </w:t>
      </w:r>
      <w:r w:rsidR="00360BFE">
        <w:t xml:space="preserve">not </w:t>
      </w:r>
      <w:r w:rsidR="00A03D13">
        <w:t xml:space="preserve">the </w:t>
      </w:r>
      <w:r w:rsidR="00360BFE">
        <w:t>operat</w:t>
      </w:r>
      <w:r w:rsidR="00A03D13">
        <w:t>or of</w:t>
      </w:r>
      <w:r w:rsidR="00F40CB5">
        <w:t xml:space="preserve"> </w:t>
      </w:r>
      <w:r w:rsidR="00360BFE">
        <w:t>a</w:t>
      </w:r>
      <w:r w:rsidR="00F40CB5">
        <w:t xml:space="preserve"> “hotel</w:t>
      </w:r>
      <w:r w:rsidR="00A03D13">
        <w:t>.</w:t>
      </w:r>
      <w:r w:rsidR="00F40CB5">
        <w:t>”</w:t>
      </w:r>
      <w:r w:rsidR="00A03D13">
        <w:t xml:space="preserve"> The online booking company merely facilitated reservations and had nothing to do with the physical hotel building.</w:t>
      </w:r>
      <w:r w:rsidR="00A61DA1">
        <w:t xml:space="preserve"> </w:t>
      </w:r>
      <w:r w:rsidR="00A03D13">
        <w:t>The Court reasoned that c</w:t>
      </w:r>
      <w:r w:rsidR="00A61DA1">
        <w:t xml:space="preserve">ontrol of </w:t>
      </w:r>
      <w:r w:rsidR="00360BFE">
        <w:t xml:space="preserve">the physical </w:t>
      </w:r>
      <w:r w:rsidR="00A03D13">
        <w:t xml:space="preserve">hotel </w:t>
      </w:r>
      <w:r w:rsidR="00A61DA1">
        <w:t xml:space="preserve">establishment </w:t>
      </w:r>
      <w:r w:rsidR="00191FC1">
        <w:t>may be</w:t>
      </w:r>
      <w:r w:rsidR="00A61DA1">
        <w:t xml:space="preserve"> indicated by:</w:t>
      </w:r>
      <w:r w:rsidR="00F40CB5">
        <w:t xml:space="preserve"> the ability to grant travelers </w:t>
      </w:r>
      <w:r>
        <w:t xml:space="preserve">the </w:t>
      </w:r>
      <w:r w:rsidR="00F40CB5" w:rsidRPr="00F40CB5">
        <w:t>right to possess, use, or occupy hotel rooms</w:t>
      </w:r>
      <w:r w:rsidR="00F40CB5">
        <w:t xml:space="preserve">; </w:t>
      </w:r>
      <w:r w:rsidR="00A61DA1">
        <w:t xml:space="preserve">creating and </w:t>
      </w:r>
      <w:r>
        <w:t>implement</w:t>
      </w:r>
      <w:r w:rsidR="00A61DA1">
        <w:t>ing</w:t>
      </w:r>
      <w:r>
        <w:t xml:space="preserve"> </w:t>
      </w:r>
      <w:r w:rsidR="0052724B">
        <w:t>“</w:t>
      </w:r>
      <w:r w:rsidR="0052724B" w:rsidRPr="0052724B">
        <w:t>hotel policies, procedures, or marketing</w:t>
      </w:r>
      <w:r w:rsidR="0052724B">
        <w:t>”;</w:t>
      </w:r>
      <w:r w:rsidR="0052724B" w:rsidRPr="0052724B">
        <w:t xml:space="preserve"> </w:t>
      </w:r>
      <w:r w:rsidR="00A61DA1">
        <w:t>hiring</w:t>
      </w:r>
      <w:r w:rsidR="0052724B" w:rsidRPr="0052724B">
        <w:t>,</w:t>
      </w:r>
      <w:r w:rsidR="00A61DA1">
        <w:t xml:space="preserve"> training</w:t>
      </w:r>
      <w:r w:rsidR="0052724B" w:rsidRPr="0052724B">
        <w:t xml:space="preserve"> </w:t>
      </w:r>
      <w:r>
        <w:t>and</w:t>
      </w:r>
      <w:r w:rsidR="0052724B" w:rsidRPr="0052724B">
        <w:t xml:space="preserve"> </w:t>
      </w:r>
      <w:r>
        <w:t>supervis</w:t>
      </w:r>
      <w:r w:rsidR="00A61DA1">
        <w:t>ing</w:t>
      </w:r>
      <w:r>
        <w:t xml:space="preserve"> </w:t>
      </w:r>
      <w:r w:rsidR="0052724B" w:rsidRPr="0052724B">
        <w:t>hotel employees</w:t>
      </w:r>
      <w:r w:rsidR="0052724B">
        <w:t xml:space="preserve">; </w:t>
      </w:r>
      <w:r w:rsidR="00A61DA1">
        <w:t xml:space="preserve">checking </w:t>
      </w:r>
      <w:r w:rsidR="0052724B">
        <w:t>travelers</w:t>
      </w:r>
      <w:r w:rsidR="00191FC1">
        <w:t xml:space="preserve"> in</w:t>
      </w:r>
      <w:r>
        <w:t>, assign</w:t>
      </w:r>
      <w:r w:rsidR="00A61DA1">
        <w:t>ing</w:t>
      </w:r>
      <w:r>
        <w:t xml:space="preserve"> </w:t>
      </w:r>
      <w:r w:rsidR="00191FC1">
        <w:t xml:space="preserve">them </w:t>
      </w:r>
      <w:r w:rsidR="0052724B">
        <w:t>rooms</w:t>
      </w:r>
      <w:r>
        <w:t xml:space="preserve">, and </w:t>
      </w:r>
      <w:r w:rsidR="00A61DA1">
        <w:t xml:space="preserve">providing </w:t>
      </w:r>
      <w:r w:rsidR="00191FC1">
        <w:t xml:space="preserve">them with </w:t>
      </w:r>
      <w:r w:rsidR="00A61DA1">
        <w:t>keys</w:t>
      </w:r>
      <w:r w:rsidR="0052724B">
        <w:t xml:space="preserve">; and </w:t>
      </w:r>
      <w:r w:rsidR="00A61DA1">
        <w:t xml:space="preserve">performing </w:t>
      </w:r>
      <w:r w:rsidR="00A61DA1" w:rsidRPr="0052724B">
        <w:t xml:space="preserve">the </w:t>
      </w:r>
      <w:r w:rsidR="00A61DA1">
        <w:t>“</w:t>
      </w:r>
      <w:r w:rsidR="00A61DA1" w:rsidRPr="0052724B">
        <w:t>daily functions of a hotel, such as those services provided and required to make travelers comfortable during their stay</w:t>
      </w:r>
      <w:r w:rsidR="00191FC1">
        <w:t>.” Such typical hotel amenities include</w:t>
      </w:r>
      <w:r w:rsidR="00A61DA1" w:rsidRPr="0052724B">
        <w:t xml:space="preserve"> maid service, security, concierge, </w:t>
      </w:r>
      <w:r w:rsidR="00191FC1">
        <w:t xml:space="preserve">and </w:t>
      </w:r>
      <w:r w:rsidR="00A61DA1" w:rsidRPr="0052724B">
        <w:t>dining service</w:t>
      </w:r>
      <w:r w:rsidR="00A61DA1">
        <w:t>.</w:t>
      </w:r>
      <w:r w:rsidR="00191FC1">
        <w:t xml:space="preserve"> </w:t>
      </w:r>
      <w:r w:rsidR="00A03D13">
        <w:t xml:space="preserve">The booking companies in </w:t>
      </w:r>
      <w:r w:rsidR="00191FC1" w:rsidRPr="00191FC1">
        <w:rPr>
          <w:i/>
          <w:iCs/>
        </w:rPr>
        <w:t>Expedia</w:t>
      </w:r>
      <w:r w:rsidR="00A03D13">
        <w:t xml:space="preserve"> did not</w:t>
      </w:r>
      <w:r w:rsidR="00CA2905">
        <w:t xml:space="preserve"> do</w:t>
      </w:r>
      <w:r w:rsidR="00A03D13">
        <w:t xml:space="preserve"> </w:t>
      </w:r>
      <w:r w:rsidR="00597ECF">
        <w:t xml:space="preserve">any of these things and thus did not </w:t>
      </w:r>
      <w:r w:rsidR="00A03D13">
        <w:t>exhibit any indicia of control.</w:t>
      </w:r>
    </w:p>
    <w:p w14:paraId="20B6E0CF" w14:textId="64F3C3A6" w:rsidR="005F3D10" w:rsidRDefault="00191FC1" w:rsidP="008345E8">
      <w:r>
        <w:t xml:space="preserve">In </w:t>
      </w:r>
      <w:r w:rsidRPr="001D168B">
        <w:rPr>
          <w:i/>
          <w:iCs/>
        </w:rPr>
        <w:t>Robinson v. Priceline.com, Inc.</w:t>
      </w:r>
      <w:r>
        <w:t>, 2023-0069 (La. App. 1 Cir. 4/17/24), 389 So.3d 168, the First Circuit was p</w:t>
      </w:r>
      <w:r w:rsidR="00360BFE">
        <w:t xml:space="preserve">resented with </w:t>
      </w:r>
      <w:r>
        <w:t xml:space="preserve">essentially </w:t>
      </w:r>
      <w:r w:rsidR="00360BFE">
        <w:lastRenderedPageBreak/>
        <w:t>the same dispute</w:t>
      </w:r>
      <w:r>
        <w:t xml:space="preserve"> </w:t>
      </w:r>
      <w:r w:rsidR="00597ECF">
        <w:t xml:space="preserve">presented </w:t>
      </w:r>
      <w:r>
        <w:t xml:space="preserve">in </w:t>
      </w:r>
      <w:r w:rsidRPr="00191FC1">
        <w:rPr>
          <w:i/>
          <w:iCs/>
        </w:rPr>
        <w:t>Expedia</w:t>
      </w:r>
      <w:r>
        <w:t xml:space="preserve">, but in the context of the state </w:t>
      </w:r>
      <w:r w:rsidR="00597ECF">
        <w:t xml:space="preserve">sales and occupancy </w:t>
      </w:r>
      <w:r>
        <w:t>tax statutes. T</w:t>
      </w:r>
      <w:r w:rsidR="00613B72">
        <w:t xml:space="preserve">he </w:t>
      </w:r>
      <w:r>
        <w:t xml:space="preserve">Court </w:t>
      </w:r>
      <w:r w:rsidR="00597ECF">
        <w:t xml:space="preserve">adopted </w:t>
      </w:r>
      <w:r>
        <w:t xml:space="preserve">the same approach </w:t>
      </w:r>
      <w:r w:rsidR="00597ECF">
        <w:t xml:space="preserve">as </w:t>
      </w:r>
      <w:r>
        <w:t>the Fifth Circuit.</w:t>
      </w:r>
      <w:r w:rsidR="00613B72">
        <w:t xml:space="preserve"> </w:t>
      </w:r>
      <w:r w:rsidR="00597ECF">
        <w:t>T</w:t>
      </w:r>
      <w:r w:rsidR="00106EA3">
        <w:t xml:space="preserve">he Court observed that the booking company </w:t>
      </w:r>
      <w:r w:rsidR="00454F51">
        <w:t>did not “</w:t>
      </w:r>
      <w:r w:rsidR="005F3D10">
        <w:t>own, operate, or manage any hotel properties in Louisiana</w:t>
      </w:r>
      <w:r w:rsidR="00A03D13">
        <w:t>.</w:t>
      </w:r>
      <w:r w:rsidR="00454F51">
        <w:t xml:space="preserve">” </w:t>
      </w:r>
      <w:r w:rsidR="00A03D13">
        <w:t>N</w:t>
      </w:r>
      <w:r w:rsidR="00454F51">
        <w:t xml:space="preserve">or could </w:t>
      </w:r>
      <w:r w:rsidR="00A03D13">
        <w:t>the booking company</w:t>
      </w:r>
      <w:r w:rsidR="005F3D10">
        <w:t xml:space="preserve"> </w:t>
      </w:r>
      <w:r w:rsidR="00454F51">
        <w:t>“</w:t>
      </w:r>
      <w:r w:rsidR="005F3D10">
        <w:t>grant consumers the right to access, use, or occupy a hotel room</w:t>
      </w:r>
      <w:r w:rsidR="00454F51">
        <w:t>,” “</w:t>
      </w:r>
      <w:r w:rsidR="005F3D10">
        <w:t>check in consumers, assign rooms,</w:t>
      </w:r>
      <w:r w:rsidR="00597ECF">
        <w:t>”</w:t>
      </w:r>
      <w:r w:rsidR="005F3D10">
        <w:t xml:space="preserve"> or </w:t>
      </w:r>
      <w:r w:rsidR="00597ECF">
        <w:t>“</w:t>
      </w:r>
      <w:r w:rsidR="005F3D10">
        <w:t>perform the daily functions of a hotel</w:t>
      </w:r>
      <w:r w:rsidR="00597ECF">
        <w:t>”</w:t>
      </w:r>
      <w:r w:rsidR="005F3D10">
        <w:t xml:space="preserve"> (e.g., cleaning, security, hiring hotel employees).</w:t>
      </w:r>
      <w:r w:rsidR="001D168B">
        <w:t xml:space="preserve"> </w:t>
      </w:r>
      <w:r w:rsidR="00360BFE">
        <w:rPr>
          <w:i/>
          <w:iCs/>
        </w:rPr>
        <w:t xml:space="preserve">Id. </w:t>
      </w:r>
      <w:r w:rsidR="00360BFE">
        <w:t xml:space="preserve">at </w:t>
      </w:r>
      <w:r w:rsidR="005F3D10">
        <w:t>178</w:t>
      </w:r>
      <w:r w:rsidR="001D168B">
        <w:t>.</w:t>
      </w:r>
    </w:p>
    <w:p w14:paraId="56689DCC" w14:textId="2FF90C20" w:rsidR="0071001E" w:rsidRDefault="007557EC" w:rsidP="008345E8">
      <w:r>
        <w:t xml:space="preserve">Civeo </w:t>
      </w:r>
      <w:r w:rsidR="0071001E">
        <w:t xml:space="preserve">is </w:t>
      </w:r>
      <w:r w:rsidR="00191FC1">
        <w:t>r</w:t>
      </w:r>
      <w:r w:rsidR="0071001E">
        <w:t>ea</w:t>
      </w:r>
      <w:r w:rsidR="00191FC1">
        <w:t>d</w:t>
      </w:r>
      <w:r w:rsidR="0071001E">
        <w:t xml:space="preserve">ily distinguishable from the </w:t>
      </w:r>
      <w:r w:rsidR="005334D2">
        <w:t xml:space="preserve">online </w:t>
      </w:r>
      <w:r w:rsidR="0071001E">
        <w:t xml:space="preserve">booking companies in </w:t>
      </w:r>
      <w:r w:rsidR="0071001E" w:rsidRPr="0071001E">
        <w:rPr>
          <w:i/>
          <w:iCs/>
        </w:rPr>
        <w:t>Expedia</w:t>
      </w:r>
      <w:r w:rsidR="0071001E">
        <w:t xml:space="preserve"> and </w:t>
      </w:r>
      <w:r w:rsidR="0071001E" w:rsidRPr="0071001E">
        <w:rPr>
          <w:i/>
          <w:iCs/>
        </w:rPr>
        <w:t>Priceline</w:t>
      </w:r>
      <w:r w:rsidR="00191FC1">
        <w:t xml:space="preserve">. </w:t>
      </w:r>
      <w:r w:rsidR="00597ECF">
        <w:t xml:space="preserve">Most importantly, </w:t>
      </w:r>
      <w:r w:rsidR="005334D2">
        <w:t xml:space="preserve">Civeo </w:t>
      </w:r>
      <w:r w:rsidR="005E0D7B">
        <w:t>did</w:t>
      </w:r>
      <w:r w:rsidR="00597ECF">
        <w:t xml:space="preserve"> </w:t>
      </w:r>
      <w:r w:rsidR="00A374A0">
        <w:t xml:space="preserve">operate </w:t>
      </w:r>
      <w:r w:rsidR="0071001E">
        <w:t xml:space="preserve">the physical </w:t>
      </w:r>
      <w:r w:rsidR="00A374A0">
        <w:t>establishment</w:t>
      </w:r>
      <w:r w:rsidR="0071001E">
        <w:t xml:space="preserve"> where visitors were lodged</w:t>
      </w:r>
      <w:r w:rsidR="00A374A0">
        <w:t xml:space="preserve">. </w:t>
      </w:r>
      <w:r w:rsidR="003631D6">
        <w:t xml:space="preserve">Civeo </w:t>
      </w:r>
      <w:r w:rsidR="0071001E">
        <w:t>also engaged in some</w:t>
      </w:r>
      <w:r w:rsidR="005334D2">
        <w:t>, albeit not all,</w:t>
      </w:r>
      <w:r w:rsidR="0071001E">
        <w:t xml:space="preserve"> of the typical hotel activities identified in the jurisprudence. Civeo </w:t>
      </w:r>
      <w:r w:rsidR="003631D6">
        <w:t xml:space="preserve">checked </w:t>
      </w:r>
      <w:proofErr w:type="gramStart"/>
      <w:r w:rsidR="003631D6">
        <w:t>in</w:t>
      </w:r>
      <w:proofErr w:type="gramEnd"/>
      <w:r w:rsidR="003631D6">
        <w:t xml:space="preserve"> new guests and provided </w:t>
      </w:r>
      <w:r w:rsidR="00CA00A9">
        <w:t xml:space="preserve">them with </w:t>
      </w:r>
      <w:r w:rsidR="003631D6">
        <w:t>room keys</w:t>
      </w:r>
      <w:r w:rsidR="0071001E">
        <w:t>,</w:t>
      </w:r>
      <w:r w:rsidR="003631D6">
        <w:t xml:space="preserve"> </w:t>
      </w:r>
      <w:r w:rsidR="00CA00A9">
        <w:t>hired full-time employees</w:t>
      </w:r>
      <w:r w:rsidR="0071001E">
        <w:t>,</w:t>
      </w:r>
      <w:r w:rsidR="00A03D13">
        <w:t xml:space="preserve"> established facility policies,</w:t>
      </w:r>
      <w:r w:rsidR="00CA00A9">
        <w:t xml:space="preserve"> and provided on-site services such as cleaning and security.</w:t>
      </w:r>
      <w:r w:rsidR="00A374A0">
        <w:t xml:space="preserve"> </w:t>
      </w:r>
    </w:p>
    <w:p w14:paraId="00649B2D" w14:textId="77777777" w:rsidR="00597ECF" w:rsidRDefault="003631D6" w:rsidP="008345E8">
      <w:r>
        <w:t>Civeo</w:t>
      </w:r>
      <w:r w:rsidR="0071001E">
        <w:t xml:space="preserve"> argues that </w:t>
      </w:r>
      <w:proofErr w:type="gramStart"/>
      <w:r w:rsidR="0071001E">
        <w:t>its</w:t>
      </w:r>
      <w:r w:rsidR="00CA00A9">
        <w:t xml:space="preserve"> control</w:t>
      </w:r>
      <w:proofErr w:type="gramEnd"/>
      <w:r w:rsidR="00CA00A9">
        <w:t xml:space="preserve"> of the premises was substantially limited by the terms of the Lease. </w:t>
      </w:r>
      <w:r w:rsidR="0071001E">
        <w:t xml:space="preserve">Civeo </w:t>
      </w:r>
      <w:r w:rsidR="00CA00A9">
        <w:t xml:space="preserve">could not rent rooms to the </w:t>
      </w:r>
      <w:proofErr w:type="gramStart"/>
      <w:r w:rsidR="00CA00A9">
        <w:t>general public</w:t>
      </w:r>
      <w:proofErr w:type="gramEnd"/>
      <w:r w:rsidR="00CA00A9">
        <w:t xml:space="preserve">. </w:t>
      </w:r>
      <w:r w:rsidR="005334D2">
        <w:t xml:space="preserve">Civeo </w:t>
      </w:r>
      <w:r>
        <w:t>could not</w:t>
      </w:r>
      <w:r w:rsidR="005334D2">
        <w:t>, or did not,</w:t>
      </w:r>
      <w:r>
        <w:t xml:space="preserve"> remove </w:t>
      </w:r>
      <w:r w:rsidR="007557EC">
        <w:t xml:space="preserve">LACC’s employees without giving LACC advance notice. </w:t>
      </w:r>
      <w:r w:rsidR="00CA00A9">
        <w:t xml:space="preserve">Civeo </w:t>
      </w:r>
      <w:r w:rsidR="0071001E">
        <w:t xml:space="preserve">did not </w:t>
      </w:r>
      <w:r w:rsidR="00CA00A9">
        <w:t>provide room service</w:t>
      </w:r>
      <w:r w:rsidR="00436698">
        <w:t>,</w:t>
      </w:r>
      <w:r w:rsidR="00CA00A9">
        <w:t xml:space="preserve"> daily cleaning</w:t>
      </w:r>
      <w:r w:rsidR="00436698">
        <w:t>,</w:t>
      </w:r>
      <w:r w:rsidR="00CA00A9">
        <w:t xml:space="preserve"> </w:t>
      </w:r>
      <w:r w:rsidR="00436698">
        <w:t xml:space="preserve">or </w:t>
      </w:r>
      <w:r w:rsidR="00CA00A9">
        <w:t>typical hotel consumables</w:t>
      </w:r>
      <w:r w:rsidR="00436698">
        <w:t xml:space="preserve"> such as </w:t>
      </w:r>
      <w:r w:rsidR="00597ECF">
        <w:t>shampoo and soap</w:t>
      </w:r>
      <w:r w:rsidR="007557EC">
        <w:t>.</w:t>
      </w:r>
      <w:r w:rsidR="00436698">
        <w:t xml:space="preserve"> </w:t>
      </w:r>
    </w:p>
    <w:p w14:paraId="5093A892" w14:textId="568BCF04" w:rsidR="00A61DA1" w:rsidRDefault="00597ECF" w:rsidP="008345E8">
      <w:r>
        <w:t>Nevertheless</w:t>
      </w:r>
      <w:r w:rsidR="005334D2">
        <w:t xml:space="preserve">, </w:t>
      </w:r>
      <w:r w:rsidR="0071001E">
        <w:t xml:space="preserve">Civeo indisputably operated the physical establishment where </w:t>
      </w:r>
      <w:r w:rsidR="005334D2">
        <w:t xml:space="preserve">guests </w:t>
      </w:r>
      <w:r w:rsidR="0071001E">
        <w:t>were lodged.</w:t>
      </w:r>
      <w:r w:rsidR="005334D2">
        <w:t xml:space="preserve"> </w:t>
      </w:r>
      <w:r w:rsidR="00A03D13">
        <w:t xml:space="preserve">Civeo also exhibited some of the indicia of control identified in the jurisprudence. Thus, it does not matter that Civeo did not offer every service that hotels might offer, or that LACC had use of the units </w:t>
      </w:r>
      <w:r>
        <w:t xml:space="preserve">under </w:t>
      </w:r>
      <w:r w:rsidR="00A03D13">
        <w:t>the Lease.</w:t>
      </w:r>
      <w:r>
        <w:t xml:space="preserve"> The statute broadly defines hotel as “</w:t>
      </w:r>
      <w:r w:rsidRPr="00597ECF">
        <w:rPr>
          <w:b/>
          <w:bCs/>
          <w:u w:val="single"/>
        </w:rPr>
        <w:t>any</w:t>
      </w:r>
      <w:r>
        <w:t xml:space="preserve"> </w:t>
      </w:r>
      <w:r>
        <w:lastRenderedPageBreak/>
        <w:t>establishment or person engaged in the business of furnishing sleeping rooms, cottages, or cabins to transient guests.”</w:t>
      </w:r>
      <w:r w:rsidRPr="00597ECF">
        <w:t xml:space="preserve"> </w:t>
      </w:r>
      <w:r>
        <w:t xml:space="preserve">La. R.S. 47:301(6)(a). Based on the broad statutory language, the Board finds that </w:t>
      </w:r>
      <w:r w:rsidR="00436698">
        <w:t>Civeo operated a “hotel”</w:t>
      </w:r>
      <w:r w:rsidR="005334D2">
        <w:t xml:space="preserve"> </w:t>
      </w:r>
      <w:r>
        <w:t>at Acadian Acres</w:t>
      </w:r>
      <w:r w:rsidR="00436698">
        <w:t>.</w:t>
      </w:r>
    </w:p>
    <w:p w14:paraId="5D5D30A2" w14:textId="79D07894" w:rsidR="00436698" w:rsidRPr="00436698" w:rsidRDefault="00A03D13" w:rsidP="00A93686">
      <w:pPr>
        <w:pStyle w:val="Heading3"/>
      </w:pPr>
      <w:r>
        <w:t>Were LACC</w:t>
      </w:r>
      <w:r w:rsidR="005E0D7B">
        <w:t xml:space="preserve">, </w:t>
      </w:r>
      <w:r>
        <w:t xml:space="preserve">or its </w:t>
      </w:r>
      <w:r w:rsidR="005E0D7B">
        <w:t>employees,</w:t>
      </w:r>
      <w:r>
        <w:t xml:space="preserve"> </w:t>
      </w:r>
      <w:r w:rsidR="00436698" w:rsidRPr="00436698">
        <w:t>“transient” guests</w:t>
      </w:r>
      <w:r w:rsidR="00436698" w:rsidRPr="00A03D13">
        <w:t>?</w:t>
      </w:r>
    </w:p>
    <w:p w14:paraId="358F30EA" w14:textId="69CEB65C" w:rsidR="0036179D" w:rsidRDefault="0071001E" w:rsidP="008345E8">
      <w:r>
        <w:t>As an initial matter</w:t>
      </w:r>
      <w:r w:rsidR="00436698">
        <w:t xml:space="preserve">, there is a </w:t>
      </w:r>
      <w:r w:rsidR="0036179D">
        <w:t xml:space="preserve">disagreement </w:t>
      </w:r>
      <w:r w:rsidR="00436698">
        <w:t xml:space="preserve">as to </w:t>
      </w:r>
      <w:r w:rsidR="0036179D">
        <w:t xml:space="preserve">who </w:t>
      </w:r>
      <w:r w:rsidR="005334D2">
        <w:t>the “guest</w:t>
      </w:r>
      <w:r w:rsidR="00A03D13">
        <w:t>s</w:t>
      </w:r>
      <w:r w:rsidR="005334D2">
        <w:t>” might have been</w:t>
      </w:r>
      <w:r w:rsidR="0036179D">
        <w:t xml:space="preserve">. Civeo argues that </w:t>
      </w:r>
      <w:r w:rsidR="005334D2">
        <w:t xml:space="preserve">the </w:t>
      </w:r>
      <w:r w:rsidR="00CA5735">
        <w:t xml:space="preserve">inquiry should be directed at </w:t>
      </w:r>
      <w:r w:rsidR="005334D2">
        <w:t xml:space="preserve">LACC. Indeed, </w:t>
      </w:r>
      <w:r>
        <w:t xml:space="preserve">LACC </w:t>
      </w:r>
      <w:r w:rsidR="005334D2">
        <w:t xml:space="preserve">paid the rent and </w:t>
      </w:r>
      <w:r>
        <w:t xml:space="preserve">was the only entity that </w:t>
      </w:r>
      <w:proofErr w:type="gramStart"/>
      <w:r w:rsidR="0036179D">
        <w:t>actually contracted</w:t>
      </w:r>
      <w:proofErr w:type="gramEnd"/>
      <w:r w:rsidR="0036179D">
        <w:t xml:space="preserve"> </w:t>
      </w:r>
      <w:r>
        <w:t>with Civeo</w:t>
      </w:r>
      <w:r w:rsidR="0036179D">
        <w:t xml:space="preserve">. </w:t>
      </w:r>
      <w:r>
        <w:t>However, t</w:t>
      </w:r>
      <w:r w:rsidR="0036179D">
        <w:t>he Collector argues that LACC’s employees</w:t>
      </w:r>
      <w:r w:rsidR="005334D2">
        <w:t xml:space="preserve"> were the ones who </w:t>
      </w:r>
      <w:r>
        <w:t xml:space="preserve">physically </w:t>
      </w:r>
      <w:r w:rsidR="0036179D">
        <w:t>occupied the rooms</w:t>
      </w:r>
      <w:r>
        <w:t xml:space="preserve"> at Acadian Acres</w:t>
      </w:r>
      <w:r w:rsidR="0036179D">
        <w:t>.</w:t>
      </w:r>
      <w:r w:rsidR="00597ECF">
        <w:t xml:space="preserve"> Thus, the Collector maintains that the inquiry should focus on LACC’s employees.</w:t>
      </w:r>
    </w:p>
    <w:p w14:paraId="11173ADC" w14:textId="52BDAAAB" w:rsidR="005C78DE" w:rsidRDefault="00A03D13" w:rsidP="008345E8">
      <w:r>
        <w:t>T</w:t>
      </w:r>
      <w:r w:rsidR="005C78DE">
        <w:t>he term “transient</w:t>
      </w:r>
      <w:r w:rsidR="00650C71">
        <w:t xml:space="preserve"> </w:t>
      </w:r>
      <w:r w:rsidR="005C78DE">
        <w:t>guest”</w:t>
      </w:r>
      <w:r>
        <w:t xml:space="preserve"> is not defined in statute or ordinance.</w:t>
      </w:r>
      <w:r w:rsidR="005C78DE">
        <w:t xml:space="preserve"> Merriam-Webster’s Dictionary defines transient to include: “</w:t>
      </w:r>
      <w:r w:rsidR="005C78DE" w:rsidRPr="003B425E">
        <w:t>passing through or by a place with only a brief stay or sojourn</w:t>
      </w:r>
      <w:r w:rsidR="005C78DE">
        <w:t>”; “</w:t>
      </w:r>
      <w:r w:rsidR="005C78DE" w:rsidRPr="003B425E">
        <w:t>one that is transient</w:t>
      </w:r>
      <w:r w:rsidR="005C78DE">
        <w:t xml:space="preserve"> . . . such as: </w:t>
      </w:r>
      <w:r w:rsidR="005C78DE" w:rsidRPr="003B425E">
        <w:t>a guest or boarder who stays only briefly</w:t>
      </w:r>
      <w:r w:rsidR="005C78DE">
        <w:t>”; or “</w:t>
      </w:r>
      <w:r w:rsidR="005C78DE" w:rsidRPr="003B425E">
        <w:t>a person traveling about</w:t>
      </w:r>
      <w:r w:rsidR="00CA2905">
        <w:t>,”</w:t>
      </w:r>
      <w:r w:rsidR="005C78DE" w:rsidRPr="003B425E">
        <w:t xml:space="preserve"> </w:t>
      </w:r>
      <w:r w:rsidR="00CA2905">
        <w:t>“</w:t>
      </w:r>
      <w:r w:rsidR="005C78DE" w:rsidRPr="003B425E">
        <w:t>usually in search of work</w:t>
      </w:r>
      <w:r w:rsidR="005C78DE">
        <w:t>.”</w:t>
      </w:r>
      <w:r w:rsidR="005C78DE">
        <w:rPr>
          <w:rStyle w:val="FootnoteReference"/>
        </w:rPr>
        <w:footnoteReference w:id="5"/>
      </w:r>
      <w:r w:rsidR="005C78DE">
        <w:t xml:space="preserve"> </w:t>
      </w:r>
      <w:r w:rsidR="007705B2">
        <w:t>Black’s Law Dictionary defines transient as “</w:t>
      </w:r>
      <w:r>
        <w:t>[t]</w:t>
      </w:r>
      <w:proofErr w:type="spellStart"/>
      <w:r w:rsidR="007705B2">
        <w:t>emporary</w:t>
      </w:r>
      <w:proofErr w:type="spellEnd"/>
      <w:r w:rsidR="007705B2">
        <w:t>; impermanent; passing away after a short time.”</w:t>
      </w:r>
      <w:r w:rsidR="007705B2">
        <w:rPr>
          <w:rStyle w:val="FootnoteReference"/>
        </w:rPr>
        <w:footnoteReference w:id="6"/>
      </w:r>
      <w:r w:rsidR="005334D2">
        <w:t xml:space="preserve"> </w:t>
      </w:r>
      <w:r w:rsidR="005C78DE">
        <w:t>Merriam-Webster’s Dictionary defines guest to include: “</w:t>
      </w:r>
      <w:r w:rsidR="005C78DE" w:rsidRPr="003B425E">
        <w:t xml:space="preserve">a person </w:t>
      </w:r>
      <w:r w:rsidR="005C78DE" w:rsidRPr="003B425E">
        <w:lastRenderedPageBreak/>
        <w:t>entertained in one</w:t>
      </w:r>
      <w:r w:rsidR="005C78DE">
        <w:t>’</w:t>
      </w:r>
      <w:r w:rsidR="005C78DE" w:rsidRPr="003B425E">
        <w:t>s house</w:t>
      </w:r>
      <w:r w:rsidR="005C78DE">
        <w:t>”; “</w:t>
      </w:r>
      <w:r w:rsidR="005C78DE" w:rsidRPr="003B425E">
        <w:t>a person to whom hospitality or special honor is extended</w:t>
      </w:r>
      <w:r w:rsidR="005C78DE">
        <w:t>”; “</w:t>
      </w:r>
      <w:r w:rsidR="005C78DE" w:rsidRPr="003B425E">
        <w:t>a person who pays for the services of an establishment (such as a hotel or restaurant)</w:t>
      </w:r>
      <w:r w:rsidR="005C78DE">
        <w:t>.”</w:t>
      </w:r>
      <w:r w:rsidR="005C78DE">
        <w:rPr>
          <w:rStyle w:val="FootnoteReference"/>
        </w:rPr>
        <w:footnoteReference w:id="7"/>
      </w:r>
      <w:r w:rsidR="007705B2">
        <w:t xml:space="preserve"> Black’s Law Dictionary defines guest to include “</w:t>
      </w:r>
      <w:r>
        <w:t>[s]</w:t>
      </w:r>
      <w:proofErr w:type="spellStart"/>
      <w:r w:rsidR="007705B2" w:rsidRPr="007705B2">
        <w:t>omeone</w:t>
      </w:r>
      <w:proofErr w:type="spellEnd"/>
      <w:r w:rsidR="007705B2" w:rsidRPr="007705B2">
        <w:t xml:space="preserve"> who is entertained or to whom hospitality is extended</w:t>
      </w:r>
      <w:r w:rsidR="007705B2">
        <w:t>” and “</w:t>
      </w:r>
      <w:r>
        <w:t>[s]</w:t>
      </w:r>
      <w:proofErr w:type="spellStart"/>
      <w:r w:rsidR="007705B2" w:rsidRPr="007705B2">
        <w:t>omeone</w:t>
      </w:r>
      <w:proofErr w:type="spellEnd"/>
      <w:r w:rsidR="007705B2" w:rsidRPr="007705B2">
        <w:t xml:space="preserve"> who pays for services at an establishment, esp. a hotel or restaurant.</w:t>
      </w:r>
      <w:r w:rsidR="007705B2">
        <w:t>”</w:t>
      </w:r>
      <w:r w:rsidR="007705B2">
        <w:rPr>
          <w:rStyle w:val="FootnoteReference"/>
        </w:rPr>
        <w:footnoteReference w:id="8"/>
      </w:r>
      <w:r w:rsidR="00F01C08">
        <w:t xml:space="preserve"> Here, both LACC, the entity who paid for services, and its employees, to whom hospitality was extended, can fit within the ordinary usages of the term “transient guest.”</w:t>
      </w:r>
    </w:p>
    <w:p w14:paraId="12F1AC6A" w14:textId="3BF27F68" w:rsidR="00EE0ADA" w:rsidRDefault="00870AAA" w:rsidP="008345E8">
      <w:r>
        <w:t xml:space="preserve">The </w:t>
      </w:r>
      <w:r w:rsidR="00EE0ADA">
        <w:t>LDR</w:t>
      </w:r>
      <w:r w:rsidR="00840C74">
        <w:t>’s</w:t>
      </w:r>
      <w:r w:rsidR="00EE0ADA">
        <w:t xml:space="preserve"> </w:t>
      </w:r>
      <w:r>
        <w:t xml:space="preserve">current </w:t>
      </w:r>
      <w:r w:rsidR="00840C74">
        <w:t xml:space="preserve">interpretation of the statute </w:t>
      </w:r>
      <w:r>
        <w:t xml:space="preserve">is </w:t>
      </w:r>
      <w:r w:rsidR="00840C74">
        <w:t xml:space="preserve">set forth in </w:t>
      </w:r>
      <w:r w:rsidR="00EE0ADA">
        <w:t xml:space="preserve">LAC </w:t>
      </w:r>
      <w:proofErr w:type="gramStart"/>
      <w:r w:rsidR="00EE0ADA">
        <w:t>61:I.</w:t>
      </w:r>
      <w:proofErr w:type="gramEnd"/>
      <w:r w:rsidR="00EE0ADA">
        <w:t>4301(C)Hotel(b)</w:t>
      </w:r>
      <w:r w:rsidR="00840C74">
        <w:t>, which</w:t>
      </w:r>
      <w:r w:rsidR="00EE0ADA">
        <w:t xml:space="preserve"> states:</w:t>
      </w:r>
    </w:p>
    <w:p w14:paraId="5C7028C3" w14:textId="3F9B220A" w:rsidR="00EE0ADA" w:rsidRDefault="00EE0ADA" w:rsidP="00A93686">
      <w:pPr>
        <w:pStyle w:val="Quote"/>
      </w:pPr>
      <w:proofErr w:type="spellStart"/>
      <w:r>
        <w:t>i</w:t>
      </w:r>
      <w:proofErr w:type="spellEnd"/>
      <w:r>
        <w:t>. I</w:t>
      </w:r>
      <w:r w:rsidRPr="00C74A31">
        <w:t xml:space="preserve">n determining whether an establishment furnishes hotel services to transient guests, it is determined that a guest who transacts for the services of a </w:t>
      </w:r>
      <w:r w:rsidR="00597ECF">
        <w:t>hotel</w:t>
      </w:r>
      <w:r w:rsidRPr="00C74A31">
        <w:t xml:space="preserve">, regardless of the length of time that the hotel services are used, is considered a transient guest and the transaction is subject to sales tax. Where a hotel provides permanent residences to permanent occupants, the transaction is not subject to state and local sales or use tax. For the transaction to be considered a rental as a permanent residence to permanent occupants, the physical properties of the space must provide the basic elements of a home, including full-sized and integrated kitchen appliances and facilities. Additionally, the occupant must use the facilities of the hotel as a home with the intent to permanently remain. When all </w:t>
      </w:r>
      <w:r w:rsidRPr="00C74A31">
        <w:lastRenderedPageBreak/>
        <w:t xml:space="preserve">conditions of the above two standards are met, the occupant may be considered non-transient for the purposes of the state and local sales or use tax. A lease with a hotel for a period of not less than one year will be considered as evidence in support of permanent residency status, when the area rented contained the required physical properties of the hotel </w:t>
      </w:r>
      <w:proofErr w:type="gramStart"/>
      <w:r w:rsidRPr="00C74A31">
        <w:t>accommodations</w:t>
      </w:r>
      <w:proofErr w:type="gramEnd"/>
      <w:r w:rsidRPr="00C74A31">
        <w:t xml:space="preserve"> at the beginning of the lease. Proof that hotel rental contained the requisite physical properties of the hotel </w:t>
      </w:r>
      <w:proofErr w:type="gramStart"/>
      <w:r w:rsidRPr="00C74A31">
        <w:t>accommodations</w:t>
      </w:r>
      <w:proofErr w:type="gramEnd"/>
      <w:r w:rsidRPr="00C74A31">
        <w:t xml:space="preserve"> within a unit continuously rented by one person or family for a period greater than one year will be considered as evidence in support of permanent residency status. The department may require additional evidentiary support </w:t>
      </w:r>
      <w:proofErr w:type="gramStart"/>
      <w:r w:rsidRPr="00C74A31">
        <w:t>of</w:t>
      </w:r>
      <w:proofErr w:type="gramEnd"/>
      <w:r w:rsidRPr="00C74A31">
        <w:t xml:space="preserve"> claims of non-transient status.</w:t>
      </w:r>
    </w:p>
    <w:p w14:paraId="71BB767E" w14:textId="77777777" w:rsidR="00EE0ADA" w:rsidRDefault="00EE0ADA" w:rsidP="00A93686">
      <w:pPr>
        <w:pStyle w:val="Quote"/>
      </w:pPr>
      <w:r>
        <w:t>ii. For the purposes of state and local sales and use tax collections under R.S. 47:301 et seq., a guest of a hotel is a natural person.</w:t>
      </w:r>
    </w:p>
    <w:p w14:paraId="6B8F219B" w14:textId="49C52228" w:rsidR="00EE0ADA" w:rsidRDefault="00EE0ADA" w:rsidP="008345E8">
      <w:r>
        <w:t xml:space="preserve">The LDR has </w:t>
      </w:r>
      <w:r w:rsidR="00891135">
        <w:t xml:space="preserve">further clarified that </w:t>
      </w:r>
      <w:r w:rsidR="00D00275">
        <w:t>a</w:t>
      </w:r>
      <w:r w:rsidR="00891135">
        <w:t xml:space="preserve"> </w:t>
      </w:r>
      <w:r w:rsidR="00840C74">
        <w:t xml:space="preserve">guest </w:t>
      </w:r>
      <w:r w:rsidR="00D00275">
        <w:t xml:space="preserve">can only be </w:t>
      </w:r>
      <w:r w:rsidR="00891135">
        <w:t xml:space="preserve">the natural person who </w:t>
      </w:r>
      <w:r w:rsidR="00840C74">
        <w:t xml:space="preserve">physically </w:t>
      </w:r>
      <w:r w:rsidR="00891135">
        <w:t xml:space="preserve">occupies the </w:t>
      </w:r>
      <w:r w:rsidR="00597ECF">
        <w:t xml:space="preserve">hotel </w:t>
      </w:r>
      <w:r w:rsidR="00891135">
        <w:t xml:space="preserve">room. In </w:t>
      </w:r>
      <w:r>
        <w:t>Revenue Ruling 07-003</w:t>
      </w:r>
      <w:r w:rsidR="00891135">
        <w:t xml:space="preserve"> (Sept. 6, 2007), the LDR </w:t>
      </w:r>
      <w:r w:rsidR="00CA2905">
        <w:t>stated</w:t>
      </w:r>
      <w:r>
        <w:t>:</w:t>
      </w:r>
    </w:p>
    <w:p w14:paraId="6D091EDB" w14:textId="77777777" w:rsidR="00EE0ADA" w:rsidRDefault="00EE0ADA" w:rsidP="00A93686">
      <w:pPr>
        <w:pStyle w:val="Quote"/>
      </w:pPr>
      <w:r>
        <w:t xml:space="preserve">The basis for the taxability or non-taxability of hotel </w:t>
      </w:r>
      <w:proofErr w:type="gramStart"/>
      <w:r>
        <w:t>accommodations</w:t>
      </w:r>
      <w:proofErr w:type="gramEnd"/>
      <w:r>
        <w:t xml:space="preserve"> is not that of time or method of payment, but the character of the use. Length of time of use and method of payment are essential elements of one who is a permanent resident, but in and of themselves do not establish the permanency of the use. If the use is that of a hotel, then the character of the use is transient, and the use is taxable. However, if the purpose of the use is that of permanent residence, then the user is considered permanent. Fulfillment of several factors including but not limited to physical presence, long term use, the contractual nature of the arrangement, and the permanency of the habitation are essential components to establishing the character of the use as that of permanent residence or home. </w:t>
      </w:r>
      <w:r>
        <w:lastRenderedPageBreak/>
        <w:t xml:space="preserve">Only the use of a hotel as a permanent residence or home by a natural person is excluded from payment of sales tax. </w:t>
      </w:r>
    </w:p>
    <w:p w14:paraId="01518386" w14:textId="77777777" w:rsidR="00EE0ADA" w:rsidRDefault="00EE0ADA" w:rsidP="00A93686">
      <w:pPr>
        <w:pStyle w:val="Quote"/>
      </w:pPr>
      <w:r>
        <w:t xml:space="preserve">Article </w:t>
      </w:r>
      <w:proofErr w:type="gramStart"/>
      <w:r>
        <w:t>61:I.</w:t>
      </w:r>
      <w:proofErr w:type="gramEnd"/>
      <w:r>
        <w:t xml:space="preserve">4301(C)Hotel(b) of the Louisiana Administrative Code now provides that for the transaction to be considered a rental as a permanent residence to permanent occupants, the physical properties of the space must provide the basic elements of a home, including full-sized and integrated kitchen appliances and facilities. Additionally, the occupant must use the facilities of the hotel as a home with the intent to permanently remain. When all conditions of the above two standards are met, the occupant may be considered non-transient for the purposes of the state and local sales or use tax. A lease with a hotel for a period of not less than one year will be considered as evidence in support of permanent residency status, when the area rented contained the required physical properties of the hotel </w:t>
      </w:r>
      <w:proofErr w:type="gramStart"/>
      <w:r>
        <w:t>accommodations</w:t>
      </w:r>
      <w:proofErr w:type="gramEnd"/>
      <w:r>
        <w:t xml:space="preserve"> at the beginning of the lease. Proof that hotel accommodations contain the requisite physical properties of a home or permanent residence, and the hotel accommodations within a unit are continuously rented by one person or family uninterrupted for a period greater than one year will be considered as evidence in support of permanent residency status. The Department may require additional evidentiary support </w:t>
      </w:r>
      <w:proofErr w:type="gramStart"/>
      <w:r>
        <w:t>of</w:t>
      </w:r>
      <w:proofErr w:type="gramEnd"/>
      <w:r>
        <w:t xml:space="preserve"> claims of non-transient status.</w:t>
      </w:r>
    </w:p>
    <w:p w14:paraId="16D49B82" w14:textId="44BCAEF7" w:rsidR="00EE0ADA" w:rsidRDefault="00EE0ADA" w:rsidP="00A93686">
      <w:pPr>
        <w:pStyle w:val="Quote"/>
      </w:pPr>
      <w:r>
        <w:t xml:space="preserve">Revenue Ruling No. 03-007 </w:t>
      </w:r>
      <w:proofErr w:type="gramStart"/>
      <w:r>
        <w:t>interpreting</w:t>
      </w:r>
      <w:proofErr w:type="gramEnd"/>
      <w:r>
        <w:t xml:space="preserve"> Article </w:t>
      </w:r>
      <w:proofErr w:type="gramStart"/>
      <w:r>
        <w:t>61:I.</w:t>
      </w:r>
      <w:proofErr w:type="gramEnd"/>
      <w:r>
        <w:t>4301(C)Hotel(b) of the Louisiana Administrative Code is hereby withdrawn and superseded.</w:t>
      </w:r>
      <w:r>
        <w:rPr>
          <w:rStyle w:val="FootnoteReference"/>
        </w:rPr>
        <w:footnoteReference w:id="9"/>
      </w:r>
    </w:p>
    <w:p w14:paraId="789785FE" w14:textId="77777777" w:rsidR="005E0D7B" w:rsidRDefault="005E0D7B" w:rsidP="008345E8"/>
    <w:p w14:paraId="46F4BDF3" w14:textId="3971D957" w:rsidR="00EE0ADA" w:rsidRDefault="00CA5735" w:rsidP="008345E8">
      <w:r>
        <w:lastRenderedPageBreak/>
        <w:t>Thus, under the LDR’s interpretation, the analysis should focus on LACC’s employees. LACC’s employees were not entitled to the degree of control or responsibility one would normally expect over one’s permanent residence.</w:t>
      </w:r>
      <w:r>
        <w:rPr>
          <w:rStyle w:val="FootnoteReference"/>
        </w:rPr>
        <w:footnoteReference w:id="10"/>
      </w:r>
      <w:r>
        <w:t xml:space="preserve"> </w:t>
      </w:r>
      <w:r w:rsidR="00891135">
        <w:t>The</w:t>
      </w:r>
      <w:r>
        <w:t>y</w:t>
      </w:r>
      <w:r w:rsidR="00891135">
        <w:t xml:space="preserve"> </w:t>
      </w:r>
      <w:r w:rsidR="00EE0ADA">
        <w:t>were not responsible for utilities</w:t>
      </w:r>
      <w:r>
        <w:t>,</w:t>
      </w:r>
      <w:r w:rsidR="00EE0ADA">
        <w:t xml:space="preserve"> could not make any alterations to their </w:t>
      </w:r>
      <w:r w:rsidR="00891135">
        <w:t>living space</w:t>
      </w:r>
      <w:r>
        <w:t>,</w:t>
      </w:r>
      <w:r w:rsidR="00EE0ADA">
        <w:t xml:space="preserve"> could not bring </w:t>
      </w:r>
      <w:r>
        <w:t xml:space="preserve">in </w:t>
      </w:r>
      <w:r w:rsidR="00EE0ADA">
        <w:t>family or visitors</w:t>
      </w:r>
      <w:r>
        <w:t>,</w:t>
      </w:r>
      <w:r w:rsidR="00EE0ADA">
        <w:t xml:space="preserve"> </w:t>
      </w:r>
      <w:r>
        <w:t xml:space="preserve">and could </w:t>
      </w:r>
      <w:r w:rsidR="00EE0ADA">
        <w:t xml:space="preserve">not receive mail. </w:t>
      </w:r>
      <w:r>
        <w:t xml:space="preserve">Moreover, LACC’s employees did not intend to remain at Acadian Acres permanently. </w:t>
      </w:r>
    </w:p>
    <w:p w14:paraId="15715D40" w14:textId="55414474" w:rsidR="00867B82" w:rsidRPr="00920D47" w:rsidRDefault="00CA5735" w:rsidP="008345E8">
      <w:r>
        <w:t>Nevertheless</w:t>
      </w:r>
      <w:r w:rsidR="0032164D" w:rsidRPr="00920D47">
        <w:t>,</w:t>
      </w:r>
      <w:r>
        <w:t xml:space="preserve"> the Board recognizes that</w:t>
      </w:r>
      <w:r w:rsidR="0032164D" w:rsidRPr="00920D47">
        <w:t xml:space="preserve"> LDR’s interpretation seems to discount the contract between the hotel and the corporate entity.</w:t>
      </w:r>
      <w:r w:rsidR="0032164D">
        <w:t xml:space="preserve"> </w:t>
      </w:r>
      <w:r w:rsidR="00867B82" w:rsidRPr="00920D47">
        <w:t>The substance of the contract normally determines whether a transaction is taxable.</w:t>
      </w:r>
      <w:r w:rsidR="00867B82" w:rsidRPr="00920D47">
        <w:rPr>
          <w:i/>
          <w:iCs/>
        </w:rPr>
        <w:t xml:space="preserve"> Monsanto Co. v. St. Charles Par. Sch. Bd.</w:t>
      </w:r>
      <w:r w:rsidR="00867B82" w:rsidRPr="00920D47">
        <w:t xml:space="preserve">, 94-2145, p. 5 (La. 2/20/95), 650 So.2d 753, 756; </w:t>
      </w:r>
      <w:r w:rsidR="00867B82" w:rsidRPr="00920D47">
        <w:rPr>
          <w:i/>
          <w:iCs/>
        </w:rPr>
        <w:t>In Re Appeal of Chase Manhattan Leasing Corp.</w:t>
      </w:r>
      <w:r w:rsidR="00867B82" w:rsidRPr="00920D47">
        <w:t xml:space="preserve">, 626 So.2d 433 (La. App. 4 Cir. 1993), </w:t>
      </w:r>
      <w:r w:rsidR="00867B82" w:rsidRPr="00920D47">
        <w:rPr>
          <w:i/>
          <w:iCs/>
        </w:rPr>
        <w:t>cert. denied</w:t>
      </w:r>
      <w:r w:rsidR="00867B82" w:rsidRPr="00920D47">
        <w:t xml:space="preserve">, 630 So.2d 797 </w:t>
      </w:r>
      <w:r w:rsidR="00867B82" w:rsidRPr="00920D47">
        <w:lastRenderedPageBreak/>
        <w:t>(La. 1994</w:t>
      </w:r>
      <w:r w:rsidR="00867B82" w:rsidRPr="00920D47">
        <w:rPr>
          <w:i/>
          <w:iCs/>
        </w:rPr>
        <w:t>); Louisiana Paving Co. Inc. v St. Charles Parish Pub. Sch.</w:t>
      </w:r>
      <w:r w:rsidR="00867B82" w:rsidRPr="00920D47">
        <w:t xml:space="preserve">, 604 So.2d 593 (La. App. 5 Cir. 1992); </w:t>
      </w:r>
      <w:r w:rsidR="00867B82" w:rsidRPr="00920D47">
        <w:rPr>
          <w:i/>
          <w:iCs/>
        </w:rPr>
        <w:t>Collector of Revenue v Maison Blanche Corp</w:t>
      </w:r>
      <w:r w:rsidR="00867B82" w:rsidRPr="00920D47">
        <w:t xml:space="preserve">., 126 So.2d 704 (La. App. 4 Cir. 1961). </w:t>
      </w:r>
    </w:p>
    <w:p w14:paraId="7624DC62" w14:textId="0FBE1888" w:rsidR="00867B82" w:rsidRDefault="001F2468" w:rsidP="008345E8">
      <w:r>
        <w:t xml:space="preserve">Civeo further </w:t>
      </w:r>
      <w:proofErr w:type="gramStart"/>
      <w:r>
        <w:t>cites to</w:t>
      </w:r>
      <w:proofErr w:type="gramEnd"/>
      <w:r>
        <w:t xml:space="preserve"> </w:t>
      </w:r>
      <w:r w:rsidR="007B1728">
        <w:t>an old case</w:t>
      </w:r>
      <w:r>
        <w:t xml:space="preserve"> in which</w:t>
      </w:r>
      <w:r w:rsidR="007B1728">
        <w:t xml:space="preserve"> t</w:t>
      </w:r>
      <w:r w:rsidR="00867B82">
        <w:t xml:space="preserve">he Board </w:t>
      </w:r>
      <w:r w:rsidR="007B1728">
        <w:t xml:space="preserve">was presented with a situation </w:t>
      </w:r>
      <w:proofErr w:type="gramStart"/>
      <w:r>
        <w:t xml:space="preserve">similar </w:t>
      </w:r>
      <w:r w:rsidR="00CC2E47">
        <w:t>to</w:t>
      </w:r>
      <w:proofErr w:type="gramEnd"/>
      <w:r w:rsidR="007B1728">
        <w:t xml:space="preserve"> the one </w:t>
      </w:r>
      <w:r>
        <w:t xml:space="preserve">currently </w:t>
      </w:r>
      <w:r w:rsidR="007B1728">
        <w:t>under consideration. I</w:t>
      </w:r>
      <w:r w:rsidR="00867B82">
        <w:t xml:space="preserve">n </w:t>
      </w:r>
      <w:r w:rsidR="00867B82" w:rsidRPr="00B9473D">
        <w:rPr>
          <w:i/>
          <w:iCs/>
        </w:rPr>
        <w:t>Management Equities Corp. v. Secretary of the Department of Revenue and Taxation</w:t>
      </w:r>
      <w:r w:rsidR="00867B82">
        <w:t>, BTA Docket No. 2814 (La. Bd. Tax App. 4/17/86);</w:t>
      </w:r>
      <w:r w:rsidR="00867B82" w:rsidRPr="00B9473D">
        <w:t xml:space="preserve"> </w:t>
      </w:r>
      <w:r w:rsidR="00867B82">
        <w:t xml:space="preserve">1986 WL 220545, a railroad contracted with a motel to reserve blocks of rooms for the railroad’s employees. The railroad did this </w:t>
      </w:r>
      <w:r>
        <w:t xml:space="preserve">because it was required to under </w:t>
      </w:r>
      <w:r w:rsidR="00867B82">
        <w:t>its labor agreements</w:t>
      </w:r>
      <w:r>
        <w:t>,</w:t>
      </w:r>
      <w:r w:rsidR="00867B82">
        <w:t xml:space="preserve"> and because its employees were sometimes obligated to stay in New Orleans overnight. The LDR assessed sales tax on the railroad’s renting of the motel rooms. The railroad appealed to the Board. </w:t>
      </w:r>
      <w:r w:rsidR="00CC2E47">
        <w:t>C</w:t>
      </w:r>
      <w:r w:rsidR="00867B82">
        <w:t xml:space="preserve">ounsel submitted the matter for decision without argument. The Board summarily ruled in the railroad’s favor. The written decision that followed noted that the contract obligated the railroad (and later its successor) to pay monthly room rental for a guaranteed number of rooms, </w:t>
      </w:r>
      <w:proofErr w:type="gramStart"/>
      <w:r w:rsidR="00867B82">
        <w:t>whether or not</w:t>
      </w:r>
      <w:proofErr w:type="gramEnd"/>
      <w:r w:rsidR="00867B82">
        <w:t xml:space="preserve"> the railroad’s employees </w:t>
      </w:r>
      <w:proofErr w:type="gramStart"/>
      <w:r w:rsidR="00867B82">
        <w:t>actually occupied</w:t>
      </w:r>
      <w:proofErr w:type="gramEnd"/>
      <w:r w:rsidR="00867B82">
        <w:t xml:space="preserve"> those rooms. Based on the contract, the Board determined the railroad to be a permanent, rather than transient, guest.</w:t>
      </w:r>
    </w:p>
    <w:p w14:paraId="06977563" w14:textId="2ABC2DBA" w:rsidR="00BE0806" w:rsidRDefault="00CC2E47" w:rsidP="008345E8">
      <w:r>
        <w:t xml:space="preserve">In sum, there is some </w:t>
      </w:r>
      <w:r w:rsidR="0032164D">
        <w:t>legal support</w:t>
      </w:r>
      <w:r>
        <w:t xml:space="preserve"> for Civeo’s approach and some legal support for the Collector’s approach</w:t>
      </w:r>
      <w:r w:rsidR="0032164D">
        <w:t xml:space="preserve">. However, based on the record on summary judgment, the </w:t>
      </w:r>
      <w:r>
        <w:t xml:space="preserve">Collector’s </w:t>
      </w:r>
      <w:r w:rsidR="0032164D">
        <w:t xml:space="preserve">approach is a better fit for the facts of this case. </w:t>
      </w:r>
      <w:proofErr w:type="gramStart"/>
      <w:r w:rsidR="0032164D">
        <w:t xml:space="preserve">In particular, </w:t>
      </w:r>
      <w:r>
        <w:t>LAC</w:t>
      </w:r>
      <w:proofErr w:type="gramEnd"/>
      <w:r>
        <w:t xml:space="preserve"> </w:t>
      </w:r>
      <w:proofErr w:type="gramStart"/>
      <w:r>
        <w:t>61:I.</w:t>
      </w:r>
      <w:proofErr w:type="gramEnd"/>
      <w:r>
        <w:t xml:space="preserve">4301(C)Hotel(b) </w:t>
      </w:r>
      <w:r w:rsidR="0032164D">
        <w:t xml:space="preserve">states that </w:t>
      </w:r>
      <w:r>
        <w:t xml:space="preserve">evidence that a person or family has rented the room for more than </w:t>
      </w:r>
      <w:r w:rsidR="0032164D">
        <w:t xml:space="preserve">one year, when coupled with </w:t>
      </w:r>
      <w:proofErr w:type="gramStart"/>
      <w:r w:rsidR="0032164D">
        <w:t>all of</w:t>
      </w:r>
      <w:proofErr w:type="gramEnd"/>
      <w:r w:rsidR="0032164D">
        <w:t xml:space="preserve"> the necessary instrumentalities of a home, is evidence of </w:t>
      </w:r>
      <w:r w:rsidR="0032164D">
        <w:lastRenderedPageBreak/>
        <w:t>permanent residency. The summary judgment record before the Board in this case includes an employee roster from Civeo’s March 2018 invoice to LACC. That roster shows each employee</w:t>
      </w:r>
      <w:r>
        <w:t>’</w:t>
      </w:r>
      <w:r w:rsidR="0032164D">
        <w:t xml:space="preserve">s move in date. </w:t>
      </w:r>
      <w:r>
        <w:t>The move in dates show that n</w:t>
      </w:r>
      <w:r w:rsidR="0032164D">
        <w:t>one of the employees on the roster ha</w:t>
      </w:r>
      <w:r>
        <w:t>d</w:t>
      </w:r>
      <w:r w:rsidR="0032164D">
        <w:t xml:space="preserve"> resided at Acadian Acres for a year</w:t>
      </w:r>
      <w:r>
        <w:t xml:space="preserve"> as of</w:t>
      </w:r>
      <w:r w:rsidR="0032164D">
        <w:t xml:space="preserve"> March 2018. Furthermore, the earliest move in dates</w:t>
      </w:r>
      <w:r>
        <w:t xml:space="preserve"> </w:t>
      </w:r>
      <w:r w:rsidR="00CA2905">
        <w:t xml:space="preserve">were </w:t>
      </w:r>
      <w:r w:rsidR="00460B97">
        <w:t xml:space="preserve">in July of 2017. Those employees could not have resided at Acadian Acres for a year even if they had stayed until the end of the Lease (June 2018). Thus, the facts and circumstances of how the parties </w:t>
      </w:r>
      <w:r>
        <w:t xml:space="preserve">conducted business in practice show that the </w:t>
      </w:r>
      <w:r w:rsidR="00460B97">
        <w:t xml:space="preserve">people who </w:t>
      </w:r>
      <w:proofErr w:type="gramStart"/>
      <w:r w:rsidR="00460B97">
        <w:t>actually stayed</w:t>
      </w:r>
      <w:proofErr w:type="gramEnd"/>
      <w:r w:rsidR="00460B97">
        <w:t xml:space="preserve"> at Acadian Acres </w:t>
      </w:r>
      <w:r>
        <w:t>should</w:t>
      </w:r>
      <w:r w:rsidR="00460B97">
        <w:t xml:space="preserve"> not </w:t>
      </w:r>
      <w:r>
        <w:t xml:space="preserve">be presumed to be </w:t>
      </w:r>
      <w:r w:rsidR="00460B97">
        <w:t xml:space="preserve">permanent </w:t>
      </w:r>
      <w:r>
        <w:t>guests</w:t>
      </w:r>
      <w:r w:rsidR="00460B97">
        <w:t>. For these reasons</w:t>
      </w:r>
      <w:r>
        <w:t>,</w:t>
      </w:r>
      <w:r w:rsidR="00460B97">
        <w:t xml:space="preserve"> Civeo is not entitled to summary judgment on this issue.</w:t>
      </w:r>
    </w:p>
    <w:p w14:paraId="5E009770" w14:textId="260FD248" w:rsidR="00770288" w:rsidRDefault="001F2468" w:rsidP="00A93686">
      <w:pPr>
        <w:pStyle w:val="Heading3"/>
      </w:pPr>
      <w:r>
        <w:t>T</w:t>
      </w:r>
      <w:r w:rsidR="0022723C" w:rsidRPr="0022723C">
        <w:t xml:space="preserve">he Occupancy Tax </w:t>
      </w:r>
      <w:r>
        <w:t>Notice</w:t>
      </w:r>
    </w:p>
    <w:p w14:paraId="0E5CDC19" w14:textId="10330034" w:rsidR="0022723C" w:rsidRDefault="0022723C" w:rsidP="008345E8">
      <w:r>
        <w:t xml:space="preserve">Civeo argues that </w:t>
      </w:r>
      <w:r w:rsidRPr="0022723C">
        <w:t>the Occupancy Tax Notice</w:t>
      </w:r>
      <w:r>
        <w:t xml:space="preserve"> </w:t>
      </w:r>
      <w:r w:rsidR="00620838">
        <w:t xml:space="preserve">is statutorily deficient for </w:t>
      </w:r>
      <w:r>
        <w:t>fai</w:t>
      </w:r>
      <w:r w:rsidR="00620838">
        <w:t>ling</w:t>
      </w:r>
      <w:r>
        <w:t xml:space="preserve"> </w:t>
      </w:r>
      <w:r w:rsidR="00620838">
        <w:t xml:space="preserve">to include </w:t>
      </w:r>
      <w:r w:rsidRPr="0022723C">
        <w:t xml:space="preserve">notice of </w:t>
      </w:r>
      <w:r>
        <w:t xml:space="preserve">Civeo’s </w:t>
      </w:r>
      <w:r w:rsidR="00620838">
        <w:t>right to appeal</w:t>
      </w:r>
      <w:r w:rsidR="00BE4F6A">
        <w:t xml:space="preserve"> to the Board as required by the ULSTC, specifically</w:t>
      </w:r>
      <w:r w:rsidR="00620838">
        <w:t xml:space="preserve"> </w:t>
      </w:r>
      <w:r w:rsidRPr="0022723C">
        <w:t>La. R.S. 47:337.51(A)(1)</w:t>
      </w:r>
      <w:r>
        <w:t xml:space="preserve">. On </w:t>
      </w:r>
      <w:r w:rsidRPr="00106F9D">
        <w:t>D</w:t>
      </w:r>
      <w:r>
        <w:t xml:space="preserve">ecember 20, 2023, the date </w:t>
      </w:r>
      <w:r w:rsidR="00620838">
        <w:t xml:space="preserve">the </w:t>
      </w:r>
      <w:r>
        <w:t>Occupancy Tax Notice</w:t>
      </w:r>
      <w:r w:rsidR="00620838">
        <w:t xml:space="preserve"> was issued</w:t>
      </w:r>
      <w:r>
        <w:t xml:space="preserve">, </w:t>
      </w:r>
      <w:r w:rsidRPr="0022723C">
        <w:t>La. R.S. 47:337.51(A)(1)</w:t>
      </w:r>
      <w:r>
        <w:t xml:space="preserve"> provided:</w:t>
      </w:r>
    </w:p>
    <w:p w14:paraId="6A1869F2" w14:textId="77777777" w:rsidR="0022723C" w:rsidRDefault="0022723C" w:rsidP="00A93686">
      <w:pPr>
        <w:pStyle w:val="Quote"/>
      </w:pPr>
      <w:r>
        <w:t>Having assessed the amount determined to be due, the collector shall send a notice by certified mail to the taxpayer against whom the assessment is imposed at the address given in the last report filed by the taxpayer, or to any address obtainable from any private entity which will provide such address free of charge or from any federal, state, or local government entity, including but not limited to the United States Postal Service or from the United States Postal Service certified software. This notice shall inform the taxpayer of the assessment and that he has sixty calendar days from the date of the notice to do any of the following:</w:t>
      </w:r>
    </w:p>
    <w:p w14:paraId="45A567B1" w14:textId="77777777" w:rsidR="0022723C" w:rsidRDefault="0022723C" w:rsidP="00A93686">
      <w:pPr>
        <w:pStyle w:val="Quote"/>
      </w:pPr>
      <w:r>
        <w:lastRenderedPageBreak/>
        <w:t>(a) Pay the amount of the assessment.</w:t>
      </w:r>
    </w:p>
    <w:p w14:paraId="7587D806" w14:textId="77777777" w:rsidR="0022723C" w:rsidRDefault="0022723C" w:rsidP="00A93686">
      <w:pPr>
        <w:pStyle w:val="Quote"/>
      </w:pPr>
      <w:r>
        <w:t>(b) Appeal to the Board of Tax Appeals for redetermination of the assessment.</w:t>
      </w:r>
    </w:p>
    <w:p w14:paraId="24F0DA83" w14:textId="77775F81" w:rsidR="0022723C" w:rsidRDefault="0022723C" w:rsidP="00A93686">
      <w:pPr>
        <w:pStyle w:val="Quote"/>
      </w:pPr>
      <w:r>
        <w:t xml:space="preserve">(c) Pay under protest in accordance with R.S. 47:337.63, and then either file suit or file a petition with the Board of Tax Appeals, all as </w:t>
      </w:r>
      <w:proofErr w:type="gramStart"/>
      <w:r>
        <w:t>provided for</w:t>
      </w:r>
      <w:proofErr w:type="gramEnd"/>
      <w:r>
        <w:t xml:space="preserve"> in that Section.</w:t>
      </w:r>
    </w:p>
    <w:p w14:paraId="1252C3E5" w14:textId="677ABD4F" w:rsidR="0022723C" w:rsidRDefault="008216F8" w:rsidP="008345E8">
      <w:r>
        <w:t xml:space="preserve">The Collector argues that </w:t>
      </w:r>
      <w:r w:rsidR="00620838" w:rsidRPr="0022723C">
        <w:t>La. R.S. 47:337.51(A)(1)</w:t>
      </w:r>
      <w:r w:rsidR="00620838">
        <w:t xml:space="preserve"> does not apply and </w:t>
      </w:r>
      <w:r>
        <w:t xml:space="preserve">the Occupancy Tax Notice is </w:t>
      </w:r>
      <w:r w:rsidR="00D44CE5">
        <w:t xml:space="preserve">instead </w:t>
      </w:r>
      <w:r>
        <w:t xml:space="preserve">governed by </w:t>
      </w:r>
      <w:r w:rsidR="00D44CE5">
        <w:t>the 1996 Ordinance, which was</w:t>
      </w:r>
      <w:r w:rsidR="00353CE4">
        <w:t xml:space="preserve"> </w:t>
      </w:r>
      <w:r w:rsidR="00D44CE5">
        <w:t xml:space="preserve">adopted </w:t>
      </w:r>
      <w:r w:rsidR="00353CE4">
        <w:t xml:space="preserve">in accordance with </w:t>
      </w:r>
      <w:r w:rsidRPr="008216F8">
        <w:t>La. R.S. 33:4574.1.1(F)(1)</w:t>
      </w:r>
      <w:r>
        <w:t xml:space="preserve">. </w:t>
      </w:r>
      <w:r w:rsidRPr="008216F8">
        <w:t>La. R.S. 33:4574.1.1</w:t>
      </w:r>
      <w:r>
        <w:t xml:space="preserve">(A) authorizes the Southwest Louisiana Convention and Visitors Bureau (“SLCVB”) to “levy and collect a tax upon the occupancy of hotel rooms, motel rooms, and overnight camping facilities within the jurisdiction of the commission,” said jurisdiction being Calcasieu Parish. </w:t>
      </w:r>
      <w:r w:rsidR="00BE4F6A" w:rsidRPr="008216F8">
        <w:t>La. R.S. 33:4574.1.1(F)(1)</w:t>
      </w:r>
      <w:r w:rsidR="00BE4F6A">
        <w:t xml:space="preserve"> </w:t>
      </w:r>
      <w:r>
        <w:t xml:space="preserve">states that SLCVB “shall impose the tax by resolution or </w:t>
      </w:r>
      <w:proofErr w:type="gramStart"/>
      <w:r>
        <w:t>ordinance, and</w:t>
      </w:r>
      <w:proofErr w:type="gramEnd"/>
      <w:r>
        <w:t xml:space="preserve"> shall have the right to provide in the resolution or ordinance necessary and appropriate rules and regulations for the imposition, collection, and enforcement of the tax.” </w:t>
      </w:r>
      <w:r w:rsidRPr="008216F8">
        <w:t>La. R.S. 33:4574.1.1(F)(1)</w:t>
      </w:r>
      <w:r>
        <w:t xml:space="preserve">. </w:t>
      </w:r>
    </w:p>
    <w:p w14:paraId="0AC83089" w14:textId="1E4A36B2" w:rsidR="007553BA" w:rsidRDefault="007553BA" w:rsidP="008345E8">
      <w:r>
        <w:t>However</w:t>
      </w:r>
      <w:r w:rsidR="00620838">
        <w:t>,</w:t>
      </w:r>
      <w:r>
        <w:t xml:space="preserve"> if the tax is in substance a sales tax, then it is subject to the provision</w:t>
      </w:r>
      <w:r w:rsidR="00BE4F6A">
        <w:t>s</w:t>
      </w:r>
      <w:r>
        <w:t xml:space="preserve"> of </w:t>
      </w:r>
      <w:proofErr w:type="gramStart"/>
      <w:r>
        <w:t>the ULSTC</w:t>
      </w:r>
      <w:proofErr w:type="gramEnd"/>
      <w:r w:rsidR="00601703">
        <w:t>.</w:t>
      </w:r>
      <w:r>
        <w:t xml:space="preserve"> The purpose</w:t>
      </w:r>
      <w:r w:rsidR="00BE4F6A">
        <w:t>s</w:t>
      </w:r>
      <w:r>
        <w:t xml:space="preserve"> for </w:t>
      </w:r>
      <w:r w:rsidR="00BE4F6A">
        <w:t xml:space="preserve">enacting </w:t>
      </w:r>
      <w:proofErr w:type="gramStart"/>
      <w:r w:rsidR="00BE4F6A">
        <w:t xml:space="preserve">the </w:t>
      </w:r>
      <w:r>
        <w:t>ULSTC</w:t>
      </w:r>
      <w:proofErr w:type="gramEnd"/>
      <w:r>
        <w:t xml:space="preserve"> are set forth in La. R.S. 47:337.2. La. R.S. 47:337.2(B) states:</w:t>
      </w:r>
    </w:p>
    <w:p w14:paraId="3CFAA8B3" w14:textId="77777777" w:rsidR="007553BA" w:rsidRDefault="007553BA" w:rsidP="00A93686">
      <w:pPr>
        <w:pStyle w:val="Quote"/>
      </w:pPr>
      <w:r>
        <w:t>B. (1) Notwithstanding any other provision of law or local ordinance to the contrary, and except as provided for in Paragraph (3) of this Subsection, the provisions of this Chapter shall apply in the assessment, collection, administration, and enforcement of the sales and use tax of any political subdivision.</w:t>
      </w:r>
    </w:p>
    <w:p w14:paraId="20B9740F" w14:textId="77777777" w:rsidR="007553BA" w:rsidRDefault="007553BA" w:rsidP="00A93686">
      <w:pPr>
        <w:pStyle w:val="Quote"/>
      </w:pPr>
      <w:proofErr w:type="gramStart"/>
      <w:r>
        <w:lastRenderedPageBreak/>
        <w:t>(2) In particular, the</w:t>
      </w:r>
      <w:proofErr w:type="gramEnd"/>
      <w:r>
        <w:t xml:space="preserve"> provisions of this Chapter shall apply notwithstanding any contrary provisions in Title 33 of the Louisiana Revised Statutes of 1950 providing with respect to the sales and use tax of a particular political subdivision.</w:t>
      </w:r>
    </w:p>
    <w:p w14:paraId="51E6BB75" w14:textId="77777777" w:rsidR="007553BA" w:rsidRDefault="007553BA" w:rsidP="00A93686">
      <w:pPr>
        <w:pStyle w:val="Quote"/>
      </w:pPr>
      <w:r>
        <w:t>(3) Other provisions of law or local ordinance shall control and be applicable only with respect to the following:</w:t>
      </w:r>
    </w:p>
    <w:p w14:paraId="21B6BC5A" w14:textId="77777777" w:rsidR="007553BA" w:rsidRDefault="007553BA" w:rsidP="00A93686">
      <w:pPr>
        <w:pStyle w:val="Quote"/>
      </w:pPr>
      <w:r>
        <w:t>(a) The rate of the sales and use tax.</w:t>
      </w:r>
    </w:p>
    <w:p w14:paraId="7E245CD2" w14:textId="77777777" w:rsidR="007553BA" w:rsidRDefault="007553BA" w:rsidP="00A93686">
      <w:pPr>
        <w:pStyle w:val="Quote"/>
      </w:pPr>
      <w:r>
        <w:t>(b) The effective date of such tax.</w:t>
      </w:r>
    </w:p>
    <w:p w14:paraId="1CABEF36" w14:textId="77777777" w:rsidR="007553BA" w:rsidRDefault="007553BA" w:rsidP="00A93686">
      <w:pPr>
        <w:pStyle w:val="Quote"/>
      </w:pPr>
      <w:r>
        <w:t>(c) The term of the tax.</w:t>
      </w:r>
    </w:p>
    <w:p w14:paraId="4B0C7212" w14:textId="77777777" w:rsidR="007553BA" w:rsidRDefault="007553BA" w:rsidP="00A93686">
      <w:pPr>
        <w:pStyle w:val="Quote"/>
      </w:pPr>
      <w:r>
        <w:t>(d) The purpose for which the proceeds of the tax shall be used.</w:t>
      </w:r>
    </w:p>
    <w:p w14:paraId="6BAEFF6E" w14:textId="1C4ED4BF" w:rsidR="007553BA" w:rsidRDefault="007553BA" w:rsidP="00A93686">
      <w:pPr>
        <w:pStyle w:val="Quote"/>
      </w:pPr>
      <w:r>
        <w:t>(e) Vendor’s compensation.</w:t>
      </w:r>
    </w:p>
    <w:p w14:paraId="6025174A" w14:textId="5EEBE96D" w:rsidR="007553BA" w:rsidRDefault="007553BA" w:rsidP="008345E8">
      <w:r w:rsidRPr="00A93686">
        <w:rPr>
          <w:rStyle w:val="Emphasis"/>
        </w:rPr>
        <w:t>The quoted provision expressly states that the ULSTC overrides any contrary provisions in Title 33</w:t>
      </w:r>
      <w:r>
        <w:t xml:space="preserve"> of the Revised Statutes, which would include La. R.S. 33:4574.1 </w:t>
      </w:r>
      <w:r w:rsidRPr="004F4D08">
        <w:rPr>
          <w:i/>
          <w:iCs/>
        </w:rPr>
        <w:t>et. seq.</w:t>
      </w:r>
      <w:r>
        <w:t xml:space="preserve"> Additionally, the ULSTC was enacted in 2003, after the enactment of La. R.S. 33:4574.1 and after the SLCVB adopted the 1996 Ordinance. The ULSTC is therefore the later expression of legislative will and must prevail in the event of a conflict with the provisions of Title 33.</w:t>
      </w:r>
      <w:r w:rsidR="00601703">
        <w:t xml:space="preserve"> </w:t>
      </w:r>
    </w:p>
    <w:p w14:paraId="2B97867E" w14:textId="0F9B973F" w:rsidR="0022723C" w:rsidRDefault="00BE4F6A" w:rsidP="008345E8">
      <w:r>
        <w:t>T</w:t>
      </w:r>
      <w:r w:rsidR="006F6378" w:rsidRPr="006F6378">
        <w:t xml:space="preserve">he nature of a tax is determined not by its title, but by its incidents, attributes, and operational effect. </w:t>
      </w:r>
      <w:r w:rsidR="006F6378" w:rsidRPr="006F6378">
        <w:rPr>
          <w:i/>
          <w:iCs/>
        </w:rPr>
        <w:t>Reed v. City of New Orleans</w:t>
      </w:r>
      <w:r w:rsidR="006F6378" w:rsidRPr="006F6378">
        <w:t>, 593 So.2d 368, 371 (La.</w:t>
      </w:r>
      <w:r w:rsidR="00C96785">
        <w:t xml:space="preserve"> </w:t>
      </w:r>
      <w:r w:rsidR="006F6378" w:rsidRPr="006F6378">
        <w:t xml:space="preserve">1992); </w:t>
      </w:r>
      <w:r w:rsidR="00C96785">
        <w:rPr>
          <w:i/>
          <w:iCs/>
        </w:rPr>
        <w:t>s</w:t>
      </w:r>
      <w:r w:rsidR="006F6378" w:rsidRPr="006F6378">
        <w:rPr>
          <w:i/>
          <w:iCs/>
        </w:rPr>
        <w:t>ee also Cox Cable New Orleans v. The City of New Orleans</w:t>
      </w:r>
      <w:r w:rsidR="006F6378" w:rsidRPr="006F6378">
        <w:t>, 624 So.2d 890 (La.</w:t>
      </w:r>
      <w:r w:rsidR="006F6378">
        <w:t xml:space="preserve"> </w:t>
      </w:r>
      <w:r w:rsidR="006F6378" w:rsidRPr="006F6378">
        <w:t xml:space="preserve">1993); </w:t>
      </w:r>
      <w:r w:rsidR="006F6378" w:rsidRPr="006F6378">
        <w:rPr>
          <w:i/>
          <w:iCs/>
        </w:rPr>
        <w:t>Circle Food Stores v. City of New Orleans</w:t>
      </w:r>
      <w:r w:rsidR="006F6378" w:rsidRPr="006F6378">
        <w:t>, 620 So.2d 281 (La.</w:t>
      </w:r>
      <w:r w:rsidR="00C96785">
        <w:t xml:space="preserve"> </w:t>
      </w:r>
      <w:r w:rsidR="006F6378" w:rsidRPr="006F6378">
        <w:t xml:space="preserve">1993); </w:t>
      </w:r>
      <w:proofErr w:type="spellStart"/>
      <w:r w:rsidR="006F6378" w:rsidRPr="006F6378">
        <w:rPr>
          <w:i/>
          <w:iCs/>
        </w:rPr>
        <w:t>Radiofone</w:t>
      </w:r>
      <w:proofErr w:type="spellEnd"/>
      <w:r w:rsidR="006F6378" w:rsidRPr="006F6378">
        <w:rPr>
          <w:i/>
          <w:iCs/>
        </w:rPr>
        <w:t xml:space="preserve"> v. City of New Orleans</w:t>
      </w:r>
      <w:r w:rsidR="006F6378" w:rsidRPr="006F6378">
        <w:t>, 616 So.2d 1243 (La.</w:t>
      </w:r>
      <w:r w:rsidR="00C96785">
        <w:t xml:space="preserve"> </w:t>
      </w:r>
      <w:r w:rsidR="006F6378" w:rsidRPr="006F6378">
        <w:t xml:space="preserve">1993). </w:t>
      </w:r>
      <w:r w:rsidR="006F6378">
        <w:t>I</w:t>
      </w:r>
      <w:r w:rsidR="006F6378" w:rsidRPr="006F6378">
        <w:t xml:space="preserve">n making the determination of whether a tax </w:t>
      </w:r>
      <w:r w:rsidR="007553BA">
        <w:t xml:space="preserve">is </w:t>
      </w:r>
      <w:r w:rsidR="006F6378" w:rsidRPr="006F6378">
        <w:t xml:space="preserve">a sales tax, the realities and substance of the tax, rather than its form, must </w:t>
      </w:r>
      <w:r w:rsidR="006F6378" w:rsidRPr="006F6378">
        <w:lastRenderedPageBreak/>
        <w:t xml:space="preserve">be examined. </w:t>
      </w:r>
      <w:r w:rsidR="006F6378" w:rsidRPr="006F6378">
        <w:rPr>
          <w:i/>
          <w:iCs/>
        </w:rPr>
        <w:t>Reed</w:t>
      </w:r>
      <w:r w:rsidR="006F6378">
        <w:t>, 593 So.2d</w:t>
      </w:r>
      <w:r w:rsidR="006F6378" w:rsidRPr="006F6378">
        <w:t xml:space="preserve"> at 371</w:t>
      </w:r>
      <w:r w:rsidR="006F6378">
        <w:t>;</w:t>
      </w:r>
      <w:r w:rsidR="006F6378" w:rsidRPr="006F6378">
        <w:t xml:space="preserve"> </w:t>
      </w:r>
      <w:r w:rsidR="006F6378" w:rsidRPr="006F6378">
        <w:rPr>
          <w:i/>
          <w:iCs/>
        </w:rPr>
        <w:t xml:space="preserve">see also City of New Orleans v. </w:t>
      </w:r>
      <w:proofErr w:type="spellStart"/>
      <w:r w:rsidR="006F6378" w:rsidRPr="006F6378">
        <w:rPr>
          <w:i/>
          <w:iCs/>
        </w:rPr>
        <w:t>Scramuzza</w:t>
      </w:r>
      <w:proofErr w:type="spellEnd"/>
      <w:r w:rsidR="006F6378" w:rsidRPr="006F6378">
        <w:t>, 507 So.2d 215 (La.</w:t>
      </w:r>
      <w:r w:rsidR="006F6378">
        <w:t xml:space="preserve"> </w:t>
      </w:r>
      <w:r w:rsidR="006F6378" w:rsidRPr="006F6378">
        <w:t xml:space="preserve">1987); </w:t>
      </w:r>
      <w:r w:rsidR="006F6378" w:rsidRPr="006F6378">
        <w:rPr>
          <w:i/>
          <w:iCs/>
        </w:rPr>
        <w:t>City of New Orleans v. Christian</w:t>
      </w:r>
      <w:r w:rsidR="006F6378" w:rsidRPr="006F6378">
        <w:t xml:space="preserve">, 229 La. 855, 87 So.2d 6 (1956); </w:t>
      </w:r>
      <w:r w:rsidR="006F6378" w:rsidRPr="006F6378">
        <w:rPr>
          <w:i/>
          <w:iCs/>
        </w:rPr>
        <w:t>Lionel’s Cigar Store v. McFarland</w:t>
      </w:r>
      <w:r w:rsidR="006F6378" w:rsidRPr="006F6378">
        <w:t>, 162 La. 956, 111 So. 341 (1927).</w:t>
      </w:r>
    </w:p>
    <w:p w14:paraId="14E5ABF5" w14:textId="0E41E82A" w:rsidR="006F6378" w:rsidRDefault="006F6378" w:rsidP="008345E8">
      <w:r>
        <w:t xml:space="preserve">The Louisiana Supreme Court </w:t>
      </w:r>
      <w:r w:rsidRPr="006F6378">
        <w:t xml:space="preserve">set </w:t>
      </w:r>
      <w:r>
        <w:t xml:space="preserve">out four </w:t>
      </w:r>
      <w:r w:rsidRPr="006F6378">
        <w:t xml:space="preserve">factors </w:t>
      </w:r>
      <w:r w:rsidR="00BE4F6A">
        <w:t>for</w:t>
      </w:r>
      <w:r w:rsidRPr="006F6378">
        <w:t xml:space="preserve"> determining whether a tax</w:t>
      </w:r>
      <w:r>
        <w:t>’</w:t>
      </w:r>
      <w:r w:rsidRPr="006F6378">
        <w:t>s incidents, attributes, and operational effect are the incidents, attributes, and operational effect of a sales tax: (</w:t>
      </w:r>
      <w:r>
        <w:t>1</w:t>
      </w:r>
      <w:r w:rsidRPr="006F6378">
        <w:t>) whether the tax is due and payable at the time of sale or purchase; (</w:t>
      </w:r>
      <w:r>
        <w:t>2</w:t>
      </w:r>
      <w:r w:rsidRPr="006F6378">
        <w:t>) whether the tax is levied on the purchaser and collected by the seller, who cannot assume the tax himself; (</w:t>
      </w:r>
      <w:r>
        <w:t>3</w:t>
      </w:r>
      <w:r w:rsidRPr="006F6378">
        <w:t>) whether the tax is collected as a percentage of the retail sales price; and (</w:t>
      </w:r>
      <w:r>
        <w:t xml:space="preserve">4) </w:t>
      </w:r>
      <w:r w:rsidRPr="006F6378">
        <w:t>whether the tax closely tracks the form and substance of the state general sales and use tax</w:t>
      </w:r>
      <w:r>
        <w:t>.</w:t>
      </w:r>
      <w:r w:rsidRPr="006F6378">
        <w:t xml:space="preserve"> </w:t>
      </w:r>
      <w:r w:rsidRPr="006F6378">
        <w:rPr>
          <w:i/>
          <w:iCs/>
        </w:rPr>
        <w:t>Gallaspy v. Washington Par. Police Jury</w:t>
      </w:r>
      <w:r>
        <w:t xml:space="preserve">, 94-1434, p. 4 (La. 11/30/94), 645 So.2d 1139, 1142. These are not exclusive criteria, but guideposts in </w:t>
      </w:r>
      <w:r w:rsidR="001F2468">
        <w:t xml:space="preserve">the </w:t>
      </w:r>
      <w:r>
        <w:t>analysis</w:t>
      </w:r>
      <w:r w:rsidRPr="006F6378">
        <w:t>.</w:t>
      </w:r>
      <w:r>
        <w:t xml:space="preserve"> </w:t>
      </w:r>
      <w:r w:rsidRPr="006F6378">
        <w:rPr>
          <w:i/>
          <w:iCs/>
        </w:rPr>
        <w:t>Id.</w:t>
      </w:r>
    </w:p>
    <w:p w14:paraId="587A9E53" w14:textId="45DE07A6" w:rsidR="00770288" w:rsidRDefault="006F6378" w:rsidP="008345E8">
      <w:r>
        <w:t xml:space="preserve">In </w:t>
      </w:r>
      <w:r w:rsidRPr="006F6378">
        <w:rPr>
          <w:i/>
          <w:iCs/>
        </w:rPr>
        <w:t>Gallaspy</w:t>
      </w:r>
      <w:r>
        <w:t xml:space="preserve">, the Washington Parish Police Jury argued that its occupancy tax, allegedly enacted pursuant to La. R.S. 33:4574.1, was not a sales tax. The Louisiana Supreme Court reiterated the four non-exclusive criteria above and found that the tax satisfied each </w:t>
      </w:r>
      <w:proofErr w:type="gramStart"/>
      <w:r>
        <w:t>criteria</w:t>
      </w:r>
      <w:proofErr w:type="gramEnd"/>
      <w:r>
        <w:t xml:space="preserve">. The Court rejected the argument that La. R.S. 33:4574.1 established a transaction of “occupancy” distinct from the “furnishing” of a “sleeping room.” To the contrary, the Court found that </w:t>
      </w:r>
      <w:r w:rsidR="00724C3C">
        <w:t>“</w:t>
      </w:r>
      <w:r w:rsidR="00724C3C" w:rsidRPr="00724C3C">
        <w:t>in every situation where a hotel or other provider of sleeping rooms furnishes a room, someone will either exercise or be entitled to exercise the occupancy of that room</w:t>
      </w:r>
      <w:r w:rsidR="00724C3C">
        <w:t xml:space="preserve">.” </w:t>
      </w:r>
      <w:r w:rsidR="00724C3C" w:rsidRPr="00724C3C">
        <w:rPr>
          <w:i/>
          <w:iCs/>
        </w:rPr>
        <w:t>Id.</w:t>
      </w:r>
      <w:r w:rsidR="00724C3C">
        <w:t xml:space="preserve"> at 1142. The Court further found that</w:t>
      </w:r>
      <w:r w:rsidR="007553BA">
        <w:t>,</w:t>
      </w:r>
      <w:r w:rsidR="00724C3C">
        <w:t xml:space="preserve"> with respect to the timing of the levy, the occupancy tax was the same as the sales tax, in that the ordinance </w:t>
      </w:r>
      <w:r w:rsidR="00724C3C">
        <w:lastRenderedPageBreak/>
        <w:t>provided that the tax was required to “</w:t>
      </w:r>
      <w:r w:rsidR="00724C3C" w:rsidRPr="00724C3C">
        <w:t>be paid at the time the rent or fee of occupancy is paid.</w:t>
      </w:r>
      <w:r w:rsidR="00724C3C">
        <w:t xml:space="preserve">” </w:t>
      </w:r>
      <w:r w:rsidR="00724C3C" w:rsidRPr="00724C3C">
        <w:rPr>
          <w:i/>
          <w:iCs/>
        </w:rPr>
        <w:t>Id.</w:t>
      </w:r>
      <w:r w:rsidR="00724C3C">
        <w:t xml:space="preserve"> </w:t>
      </w:r>
    </w:p>
    <w:p w14:paraId="442383D2" w14:textId="352DAFE9" w:rsidR="00724C3C" w:rsidRDefault="00724C3C" w:rsidP="008345E8">
      <w:r>
        <w:t xml:space="preserve">Here, the </w:t>
      </w:r>
      <w:r w:rsidR="00620838">
        <w:t xml:space="preserve">1996 </w:t>
      </w:r>
      <w:r>
        <w:t>Ordinance states that the occupancy tax “</w:t>
      </w:r>
      <w:r w:rsidRPr="00724C3C">
        <w:t>shall be collected from Occupants by Dealers and shall be paid at the time and in the manner hereafter provided.</w:t>
      </w:r>
      <w:r>
        <w:t xml:space="preserve">” </w:t>
      </w:r>
      <w:r w:rsidR="007553BA">
        <w:t xml:space="preserve">1996 </w:t>
      </w:r>
      <w:r>
        <w:t xml:space="preserve">Ordinance Sec. 102.1(b). The </w:t>
      </w:r>
      <w:r w:rsidR="007553BA">
        <w:t xml:space="preserve">1996 </w:t>
      </w:r>
      <w:r>
        <w:t xml:space="preserve">Ordinance </w:t>
      </w:r>
      <w:r w:rsidR="007553BA">
        <w:t xml:space="preserve">further </w:t>
      </w:r>
      <w:r w:rsidR="00CC7353">
        <w:t xml:space="preserve">requires the dealer to collect the </w:t>
      </w:r>
      <w:r>
        <w:t xml:space="preserve">tax </w:t>
      </w:r>
      <w:r w:rsidR="00CC7353">
        <w:t xml:space="preserve">concurrently with the </w:t>
      </w:r>
      <w:r>
        <w:t>sales price, stating:</w:t>
      </w:r>
    </w:p>
    <w:p w14:paraId="243AB1E7" w14:textId="1F3206E6" w:rsidR="00724C3C" w:rsidRDefault="00724C3C" w:rsidP="00A93686">
      <w:pPr>
        <w:pStyle w:val="Quote"/>
      </w:pPr>
      <w:r w:rsidRPr="00724C3C">
        <w:t>Dealers, as far as practicable, shall add the exact amount of the Tax to the Sales Price for a Hotel room, motel room, or overnight camping facility and, when added, the Tax shall constitute a part of the Sales Price and shall be a debt from the Occupant to the Dealer, until paid, and shall be recoverable at law in the same manner as other debts.</w:t>
      </w:r>
      <w:r>
        <w:rPr>
          <w:rStyle w:val="FootnoteReference"/>
        </w:rPr>
        <w:footnoteReference w:id="11"/>
      </w:r>
    </w:p>
    <w:p w14:paraId="1743BC81" w14:textId="7CEE3DDA" w:rsidR="00770288" w:rsidRDefault="00CC7353" w:rsidP="00A93686">
      <w:pPr>
        <w:ind w:firstLine="0"/>
      </w:pPr>
      <w:r>
        <w:t>T</w:t>
      </w:r>
      <w:r w:rsidR="000429C5">
        <w:t xml:space="preserve">he tax </w:t>
      </w:r>
      <w:r>
        <w:t xml:space="preserve">is </w:t>
      </w:r>
      <w:r w:rsidR="000429C5">
        <w:t xml:space="preserve">collected when the room is paid for, that is, when the customer pays for the right to occupy the room. </w:t>
      </w:r>
      <w:r>
        <w:t>Th</w:t>
      </w:r>
      <w:r w:rsidR="00BE4F6A">
        <w:t>at</w:t>
      </w:r>
      <w:r w:rsidR="001F2468">
        <w:t xml:space="preserve"> timing</w:t>
      </w:r>
      <w:r w:rsidR="00BE4F6A">
        <w:t xml:space="preserve"> is concurrent with the </w:t>
      </w:r>
      <w:r w:rsidR="001F2468">
        <w:t xml:space="preserve">timing of the </w:t>
      </w:r>
      <w:r w:rsidR="00BE4F6A">
        <w:t>collection of a sales tax</w:t>
      </w:r>
      <w:r>
        <w:t>.</w:t>
      </w:r>
    </w:p>
    <w:p w14:paraId="31215100" w14:textId="167F2C59" w:rsidR="00C10C9D" w:rsidRDefault="00C10C9D" w:rsidP="008345E8">
      <w:r>
        <w:t xml:space="preserve">With respect to the second criteria, dealers are expressly forbidden from assuming </w:t>
      </w:r>
      <w:r w:rsidR="00353CE4">
        <w:t xml:space="preserve">the </w:t>
      </w:r>
      <w:r>
        <w:t xml:space="preserve">occupancy tax. Section 1-04(e) </w:t>
      </w:r>
      <w:r w:rsidR="00BE4F6A">
        <w:t xml:space="preserve">of the 1996 Ordinance </w:t>
      </w:r>
      <w:r>
        <w:t>states:</w:t>
      </w:r>
    </w:p>
    <w:p w14:paraId="3E1C48FD" w14:textId="5FF21890" w:rsidR="00CC7353" w:rsidRDefault="00C10C9D" w:rsidP="00A93686">
      <w:pPr>
        <w:pStyle w:val="Quote"/>
      </w:pPr>
      <w:r w:rsidRPr="00C10C9D">
        <w:t xml:space="preserve">No Dealer shall advertise or hold out to the public, either directly or indirectly, that he will relieve an Occupant from payment of all or any part of the Tax. Any Dealer violates this provision shall be fined not less than twenty-five dollars ($25.00) nor more than two hundred fifty dollars ($250.00) or imprisoned for not more than </w:t>
      </w:r>
      <w:r w:rsidRPr="00C10C9D">
        <w:lastRenderedPageBreak/>
        <w:t>three (3) months, or both. For a second or subsequent offense, the penalty shall double.</w:t>
      </w:r>
      <w:r w:rsidR="00CC7353">
        <w:t xml:space="preserve"> </w:t>
      </w:r>
    </w:p>
    <w:p w14:paraId="0DB520D3" w14:textId="1911767E" w:rsidR="00CC7353" w:rsidRDefault="00CC7353" w:rsidP="008345E8">
      <w:r>
        <w:t xml:space="preserve">The </w:t>
      </w:r>
      <w:r w:rsidR="00BE4F6A">
        <w:t xml:space="preserve">1996 </w:t>
      </w:r>
      <w:r>
        <w:t>Ordinance further provides:</w:t>
      </w:r>
    </w:p>
    <w:p w14:paraId="046A621D" w14:textId="6F45D2EF" w:rsidR="00CC7353" w:rsidRDefault="00CC7353" w:rsidP="00A93686">
      <w:pPr>
        <w:pStyle w:val="Quote"/>
      </w:pPr>
      <w:r w:rsidRPr="00CC7353">
        <w:t>If an Occupant fails to pay, and a Dealer fails to collect, the Tax, in addition to all other rights, obligations and remedies provided herein, the Tax shall be payable by the Occupant directly to the Collector, and it shall be the duty of the Occupant to file a return with the Collector and to pay the Collector the Tax due within fifteen (15) days after occupancy.</w:t>
      </w:r>
    </w:p>
    <w:p w14:paraId="4F337553" w14:textId="73275044" w:rsidR="00CC7353" w:rsidRDefault="00CC7353" w:rsidP="00DA5BCB">
      <w:pPr>
        <w:ind w:firstLine="0"/>
      </w:pPr>
      <w:r>
        <w:t xml:space="preserve">The provisions of the </w:t>
      </w:r>
      <w:r w:rsidR="00BE4F6A">
        <w:t xml:space="preserve">1996 </w:t>
      </w:r>
      <w:r>
        <w:t>Ordinance explicitly impose the occupancy tax on the consumer</w:t>
      </w:r>
      <w:r w:rsidR="00BE4F6A">
        <w:t xml:space="preserve"> and impose penalties on a dealer who purports</w:t>
      </w:r>
      <w:r w:rsidR="001F2468">
        <w:t xml:space="preserve"> to</w:t>
      </w:r>
      <w:r w:rsidR="00BE4F6A">
        <w:t xml:space="preserve"> indirectly relieve the consumers of the tax</w:t>
      </w:r>
      <w:r>
        <w:t xml:space="preserve">. Therefore, the occupancy tax </w:t>
      </w:r>
      <w:r w:rsidR="00BE4F6A">
        <w:t xml:space="preserve">here </w:t>
      </w:r>
      <w:r>
        <w:t xml:space="preserve">satisfies the second criteria </w:t>
      </w:r>
      <w:r w:rsidR="00BE4F6A">
        <w:t xml:space="preserve">of </w:t>
      </w:r>
      <w:proofErr w:type="gramStart"/>
      <w:r>
        <w:t>a sales</w:t>
      </w:r>
      <w:proofErr w:type="gramEnd"/>
      <w:r>
        <w:t xml:space="preserve"> tax.</w:t>
      </w:r>
    </w:p>
    <w:p w14:paraId="69D83967" w14:textId="63F455B1" w:rsidR="00CC7353" w:rsidRDefault="00CC7353" w:rsidP="008345E8">
      <w:r>
        <w:t xml:space="preserve">The third </w:t>
      </w:r>
      <w:proofErr w:type="gramStart"/>
      <w:r>
        <w:t>criteria</w:t>
      </w:r>
      <w:proofErr w:type="gramEnd"/>
      <w:r>
        <w:t xml:space="preserve"> looks to whether the tax is collected as a percentage of the retail sales price. Here, the </w:t>
      </w:r>
      <w:r w:rsidR="00353CE4">
        <w:t xml:space="preserve">occupancy </w:t>
      </w:r>
      <w:r>
        <w:t xml:space="preserve">tax is collected at </w:t>
      </w:r>
      <w:r>
        <w:br/>
        <w:t>“</w:t>
      </w:r>
      <w:r w:rsidRPr="00CC7353">
        <w:t>three (3) percent of the Sales Price of the hotel room, motel room, or overnight camping facility.</w:t>
      </w:r>
      <w:r>
        <w:t xml:space="preserve">” </w:t>
      </w:r>
      <w:r w:rsidR="00BE4F6A">
        <w:t xml:space="preserve">1996 </w:t>
      </w:r>
      <w:r>
        <w:t xml:space="preserve">Ordinance Sec. 1-02.1(a). </w:t>
      </w:r>
      <w:r w:rsidR="00BE4F6A">
        <w:t>On its face, t</w:t>
      </w:r>
      <w:r>
        <w:t xml:space="preserve">he occupancy tax </w:t>
      </w:r>
      <w:r w:rsidR="00577A38">
        <w:t>satisfies</w:t>
      </w:r>
      <w:r>
        <w:t xml:space="preserve"> </w:t>
      </w:r>
      <w:r w:rsidR="00577A38">
        <w:t xml:space="preserve">the </w:t>
      </w:r>
      <w:r>
        <w:t xml:space="preserve">third criteria of </w:t>
      </w:r>
      <w:r w:rsidR="00BE4F6A">
        <w:t>a sales tax</w:t>
      </w:r>
      <w:r>
        <w:t>.</w:t>
      </w:r>
    </w:p>
    <w:p w14:paraId="4AB4469F" w14:textId="2F8859A5" w:rsidR="00BE4F6A" w:rsidRDefault="00CC7353" w:rsidP="008345E8">
      <w:r>
        <w:t xml:space="preserve">The fourth criteria </w:t>
      </w:r>
      <w:proofErr w:type="gramStart"/>
      <w:r>
        <w:t>looks</w:t>
      </w:r>
      <w:proofErr w:type="gramEnd"/>
      <w:r>
        <w:t xml:space="preserve"> to whether the tax ordinance closely tracks the form and substance of the state general sales and use tax. In </w:t>
      </w:r>
      <w:r w:rsidRPr="00074465">
        <w:rPr>
          <w:i/>
          <w:iCs/>
        </w:rPr>
        <w:t>Gallaspy</w:t>
      </w:r>
      <w:r>
        <w:t>, the Court</w:t>
      </w:r>
      <w:r w:rsidR="00074465">
        <w:t xml:space="preserve"> found that the only difference between the occupancy tax and the sales tax was that the occupancy tax was limited to only one class of commodity. The Washington Parish occupancy tax ordinance also used the same terminology as the sales tax statutes. In addition, the Court noted that the</w:t>
      </w:r>
      <w:r w:rsidR="00BE4F6A">
        <w:t xml:space="preserve"> Washington Parish</w:t>
      </w:r>
      <w:r w:rsidR="00074465">
        <w:t xml:space="preserve"> ordinance made the occupancy tax “</w:t>
      </w:r>
      <w:r w:rsidR="00074465" w:rsidRPr="00074465">
        <w:t xml:space="preserve">due and payable monthly at the same time and on the dates as the sales and use </w:t>
      </w:r>
      <w:r w:rsidR="00074465" w:rsidRPr="00074465">
        <w:lastRenderedPageBreak/>
        <w:t>tax</w:t>
      </w:r>
      <w:r w:rsidR="00074465">
        <w:t xml:space="preserve">.” </w:t>
      </w:r>
      <w:r w:rsidR="00074465" w:rsidRPr="00074465">
        <w:rPr>
          <w:i/>
          <w:iCs/>
        </w:rPr>
        <w:t>Gallaspy</w:t>
      </w:r>
      <w:r w:rsidR="00074465">
        <w:t xml:space="preserve">, 645 So.2d at 1143. The Court also </w:t>
      </w:r>
      <w:proofErr w:type="gramStart"/>
      <w:r w:rsidR="00074465">
        <w:t>cited to</w:t>
      </w:r>
      <w:proofErr w:type="gramEnd"/>
      <w:r w:rsidR="00074465">
        <w:t xml:space="preserve"> </w:t>
      </w:r>
      <w:r w:rsidR="00074465" w:rsidRPr="00074465">
        <w:rPr>
          <w:i/>
          <w:iCs/>
        </w:rPr>
        <w:t>Circle Food Stores, Inc. v. City of New Orleans</w:t>
      </w:r>
      <w:r w:rsidR="00074465">
        <w:t xml:space="preserve">, 620 So.2d 281 (La. 1993), in which it found that </w:t>
      </w:r>
      <w:proofErr w:type="gramStart"/>
      <w:r w:rsidR="00074465">
        <w:t>a tobacco tax’s</w:t>
      </w:r>
      <w:proofErr w:type="gramEnd"/>
      <w:r w:rsidR="00074465">
        <w:t xml:space="preserve"> r</w:t>
      </w:r>
      <w:r w:rsidR="00074465" w:rsidRPr="00074465">
        <w:t>eporting and record keeping requirem</w:t>
      </w:r>
      <w:r w:rsidR="00074465">
        <w:t xml:space="preserve">ents were strikingly </w:t>
      </w:r>
      <w:proofErr w:type="gramStart"/>
      <w:r w:rsidR="00074465">
        <w:t>similar to</w:t>
      </w:r>
      <w:proofErr w:type="gramEnd"/>
      <w:r w:rsidR="00074465">
        <w:t xml:space="preserve"> those of the state general sales tax. </w:t>
      </w:r>
    </w:p>
    <w:p w14:paraId="69DA2A32" w14:textId="5D258E8A" w:rsidR="00CC7353" w:rsidRDefault="00074465" w:rsidP="008345E8">
      <w:r>
        <w:t xml:space="preserve">The </w:t>
      </w:r>
      <w:r w:rsidR="001F2468">
        <w:t xml:space="preserve">1996 </w:t>
      </w:r>
      <w:r>
        <w:t xml:space="preserve">Ordinance provides record keeping requirements in Section 1-07. </w:t>
      </w:r>
      <w:proofErr w:type="gramStart"/>
      <w:r>
        <w:t>In particular, Section</w:t>
      </w:r>
      <w:proofErr w:type="gramEnd"/>
      <w:r>
        <w:t xml:space="preserve"> 1-07(a)(1) provides:</w:t>
      </w:r>
    </w:p>
    <w:p w14:paraId="3EC791B1" w14:textId="38F43A76" w:rsidR="00074465" w:rsidRDefault="00074465" w:rsidP="00A93686">
      <w:pPr>
        <w:pStyle w:val="Quote"/>
      </w:pPr>
      <w:r w:rsidRPr="00074465">
        <w:t>It shall be the duty of every Dealer to keep and preserve suitable records of transactions taxable under this division and such other books of account as may be necessary to determine the Tax due hereunder and such other information as may be required by the Collector. Each Dealer shall secure, maintain and keep, until the Tax to which they relate has prescribed, a complete record of taxable transaction by the Dealer together with invoices and other pertinent records and papers as may be required by the Collector for the reasonable administration of this division.</w:t>
      </w:r>
    </w:p>
    <w:p w14:paraId="470365F5" w14:textId="7E0E38FF" w:rsidR="00074465" w:rsidRDefault="004F4D08" w:rsidP="00A93686">
      <w:pPr>
        <w:ind w:firstLine="0"/>
      </w:pPr>
      <w:r>
        <w:t>T</w:t>
      </w:r>
      <w:r w:rsidR="00074465">
        <w:t>he ULSTC</w:t>
      </w:r>
      <w:r>
        <w:t xml:space="preserve"> imposes similar requirements, albeit for a broader </w:t>
      </w:r>
      <w:proofErr w:type="gramStart"/>
      <w:r>
        <w:t>scope</w:t>
      </w:r>
      <w:proofErr w:type="gramEnd"/>
      <w:r>
        <w:t xml:space="preserve"> of transactions</w:t>
      </w:r>
      <w:r w:rsidR="00074465">
        <w:t>. Specifically, La. R.S. 47:337.</w:t>
      </w:r>
      <w:r>
        <w:t>29(A)(1) provides:</w:t>
      </w:r>
    </w:p>
    <w:p w14:paraId="15C84B35" w14:textId="53566DAB" w:rsidR="00CC7353" w:rsidRDefault="004F4D08" w:rsidP="00A93686">
      <w:pPr>
        <w:pStyle w:val="Quote"/>
      </w:pPr>
      <w:r w:rsidRPr="004F4D08">
        <w:t xml:space="preserve">Every dealer required to make a report and pay any tax under this Chapter shall keep and preserve suitable records of the sales, purchases, or leases taxable pursuant to this Chapter, and such other books of accounts as may be necessary to determine the amount of tax due hereunder, and other information as may be required by the collector; and each dealer shall secure, maintain and keep until the taxes to which they relate have prescribed, a complete record of tangible personal property received, used, sold at retail, distributed, or stored, leased or rented, within the taxing jurisdiction by the said dealer, together with invoices, bills of lading, and other pertinent records and papers as may be required by the collector for the reasonable </w:t>
      </w:r>
      <w:r w:rsidRPr="004F4D08">
        <w:lastRenderedPageBreak/>
        <w:t>administration of the tax, and a complete record of all sales or purchases of services taxable as provided in this Chapter until the taxes to which they relate have prescribed.</w:t>
      </w:r>
    </w:p>
    <w:p w14:paraId="6B0A0FBC" w14:textId="10AC9212" w:rsidR="0064192B" w:rsidRDefault="0064192B" w:rsidP="00DA5BCB">
      <w:pPr>
        <w:ind w:firstLine="0"/>
      </w:pPr>
      <w:r>
        <w:t xml:space="preserve">With respect to the due date </w:t>
      </w:r>
      <w:r w:rsidR="00C96785">
        <w:t xml:space="preserve">of </w:t>
      </w:r>
      <w:r>
        <w:t xml:space="preserve">returns, Section 1-06(b) </w:t>
      </w:r>
      <w:r w:rsidR="00C96785">
        <w:t xml:space="preserve">of the 1996 Ordinance </w:t>
      </w:r>
      <w:r>
        <w:t>provides:</w:t>
      </w:r>
    </w:p>
    <w:p w14:paraId="47B5659E" w14:textId="6FEBB9C8" w:rsidR="0064192B" w:rsidRDefault="0064192B" w:rsidP="00A93686">
      <w:pPr>
        <w:pStyle w:val="Quote"/>
      </w:pPr>
      <w:r>
        <w:t xml:space="preserve">For the purpose of ascertaining the amount of Tax payable, it shall be the duty of all Dealers, on or before the twentieth day of the month following the month in which this Tax becomes effective, to transmit to the Collector upon forms prescribed, prepared and furnished by the Collector, returns showing the Sales Price derived from all taxable transactions during the preceding calendar month or during part of the preceding calendar month, running from the effective date of this division to the end of the month. Thereafter, Dealers shall prepare, and transmit to the Collector, returns on or before the twentieth day of each month for the preceding calendar month. The returns shall show such additional information as the Collector may require </w:t>
      </w:r>
      <w:proofErr w:type="gramStart"/>
      <w:r>
        <w:t>to enable</w:t>
      </w:r>
      <w:proofErr w:type="gramEnd"/>
      <w:r>
        <w:t xml:space="preserve"> him to correctly compute and collect the Tax owed. The returns shall be signed by the Dealer filing the return, and his signature thereon shall constitute a warranty on the part of the Dealer that he had read and examined the return and that, to the best of his knowledge and belief, the return is true, correct and complete. Every Dealer, at the time of making a return, shall compute and remit to the Collector the Tax due for the preceding calendar month.</w:t>
      </w:r>
    </w:p>
    <w:p w14:paraId="0DB566F8" w14:textId="5D3AF2F2" w:rsidR="00BD457D" w:rsidRDefault="00577A38" w:rsidP="008345E8">
      <w:r>
        <w:t xml:space="preserve">As shown by the quoted provisions, the </w:t>
      </w:r>
      <w:r w:rsidR="0064192B">
        <w:t xml:space="preserve">occupancy tax levied by the </w:t>
      </w:r>
      <w:r>
        <w:t xml:space="preserve">1996 Ordinance </w:t>
      </w:r>
      <w:r w:rsidR="0064192B">
        <w:t xml:space="preserve">tracks both the </w:t>
      </w:r>
      <w:r w:rsidR="006F7C1E">
        <w:t xml:space="preserve">form and substance </w:t>
      </w:r>
      <w:r w:rsidR="0064192B">
        <w:t xml:space="preserve">of a </w:t>
      </w:r>
      <w:r>
        <w:t xml:space="preserve">sales tax. </w:t>
      </w:r>
      <w:r w:rsidR="006F7C1E">
        <w:t>In accordance with the foregoing discussion, the Board finds that t</w:t>
      </w:r>
      <w:r>
        <w:t>he occupancy tax levied by the 1996 Ordinance satisfies all four criteria of a sales tax</w:t>
      </w:r>
      <w:r w:rsidR="0064192B">
        <w:t xml:space="preserve"> and is therefore, in operation and effect, a sales tax</w:t>
      </w:r>
      <w:r>
        <w:t>.</w:t>
      </w:r>
      <w:r w:rsidR="0064192B">
        <w:t xml:space="preserve"> </w:t>
      </w:r>
      <w:r w:rsidR="00BD457D">
        <w:t xml:space="preserve">In addition, </w:t>
      </w:r>
      <w:r w:rsidR="00BD457D">
        <w:lastRenderedPageBreak/>
        <w:t>the Board notes that the ULSTC provides, in essentially identical provisions, for an additional one percent occupancy tax in Calcasieu Parish in La. R.S. 47:338.219.</w:t>
      </w:r>
      <w:r w:rsidRPr="00577A38">
        <w:t xml:space="preserve"> </w:t>
      </w:r>
      <w:r>
        <w:t xml:space="preserve">La. R.S. 47:338.219 is </w:t>
      </w:r>
      <w:r w:rsidR="0064192B">
        <w:t>the s</w:t>
      </w:r>
      <w:r>
        <w:t>tatute which authorized the SLCVB to enact the 2018 Ordinance.</w:t>
      </w:r>
      <w:r w:rsidR="00BD457D">
        <w:t xml:space="preserve"> </w:t>
      </w:r>
      <w:r>
        <w:t>Moreover, t</w:t>
      </w:r>
      <w:r w:rsidR="00BD457D">
        <w:t xml:space="preserve">o hold that the mechanisms of collection of one percent of the tax are governed by the ULSTC while the remainder of the tax is governed by contrary provisions of Title 33 and the Ordinance is contrary to </w:t>
      </w:r>
      <w:r w:rsidR="006F7C1E">
        <w:t xml:space="preserve">the </w:t>
      </w:r>
      <w:r w:rsidR="00BD457D">
        <w:t>intent expressed by the legislature in enacting the ULSTC.</w:t>
      </w:r>
    </w:p>
    <w:p w14:paraId="6CB3DBA0" w14:textId="3AE7F48A" w:rsidR="00BD457D" w:rsidRDefault="0064192B" w:rsidP="008345E8">
      <w:r>
        <w:t xml:space="preserve">As a local sales tax, the occupancy tax at issue is subject to the provisions of the ULSTC. </w:t>
      </w:r>
      <w:r w:rsidR="00BD457D">
        <w:t>The Occupancy Tax Notice indisputably failed to provide the notice required by La. R.S. 47:337.51(A)(1)(b).</w:t>
      </w:r>
      <w:r>
        <w:t xml:space="preserve"> </w:t>
      </w:r>
      <w:r w:rsidR="00BD457D">
        <w:t xml:space="preserve">Nevertheless, the Collector argues that this nonconformity is excusable under </w:t>
      </w:r>
      <w:r w:rsidR="00C77B85" w:rsidRPr="00C77B85">
        <w:rPr>
          <w:i/>
          <w:iCs/>
        </w:rPr>
        <w:t>Int</w:t>
      </w:r>
      <w:r w:rsidR="00C77B85">
        <w:rPr>
          <w:i/>
          <w:iCs/>
        </w:rPr>
        <w:t>ernationa</w:t>
      </w:r>
      <w:r w:rsidR="00C77B85" w:rsidRPr="00C77B85">
        <w:rPr>
          <w:i/>
          <w:iCs/>
        </w:rPr>
        <w:t>l Rivercenter Lessee, L.L.C. v. Robinson</w:t>
      </w:r>
      <w:r w:rsidR="00C77B85">
        <w:t xml:space="preserve">, 2022-0428 (La. App. 4 Cir. 12/28/22), 355 So.3d 1125. In </w:t>
      </w:r>
      <w:r w:rsidR="00C77B85" w:rsidRPr="006F7C1E">
        <w:rPr>
          <w:i/>
          <w:iCs/>
        </w:rPr>
        <w:t>International Rivercenter</w:t>
      </w:r>
      <w:r w:rsidR="00C77B85">
        <w:t xml:space="preserve">, the LDR issued a Notice of Assessment which incorrectly stated that the LDR “propose[d] to assess” liability. That </w:t>
      </w:r>
      <w:r w:rsidR="006F7C1E">
        <w:t xml:space="preserve">misstatement </w:t>
      </w:r>
      <w:r w:rsidR="00C77B85">
        <w:t xml:space="preserve">was remedied, however, </w:t>
      </w:r>
      <w:proofErr w:type="gramStart"/>
      <w:r w:rsidR="00C77B85">
        <w:t>by  instructions</w:t>
      </w:r>
      <w:proofErr w:type="gramEnd"/>
      <w:r w:rsidR="00C77B85">
        <w:t xml:space="preserve"> to “see the reverse side for important information,” </w:t>
      </w:r>
      <w:r w:rsidR="006F7C1E">
        <w:t xml:space="preserve">combined with </w:t>
      </w:r>
      <w:r w:rsidR="00C77B85">
        <w:t xml:space="preserve">the correct, required notice </w:t>
      </w:r>
      <w:r w:rsidR="006F7C1E">
        <w:t xml:space="preserve">being </w:t>
      </w:r>
      <w:r w:rsidR="00C77B85">
        <w:t xml:space="preserve">on the reverse side of the </w:t>
      </w:r>
      <w:r w:rsidR="006F7C1E">
        <w:t>paper</w:t>
      </w:r>
      <w:r w:rsidR="00C77B85">
        <w:t xml:space="preserve">. Here, the required statement informing the taxpayer of their appeal rights is nowhere to be found anywhere on the Occupancy Tax Notice. </w:t>
      </w:r>
      <w:r w:rsidR="00C77B85" w:rsidRPr="00C77B85">
        <w:rPr>
          <w:i/>
          <w:iCs/>
        </w:rPr>
        <w:t>International Rivercenter</w:t>
      </w:r>
      <w:r w:rsidR="00C77B85">
        <w:t xml:space="preserve"> is distinguishable </w:t>
      </w:r>
      <w:proofErr w:type="gramStart"/>
      <w:r w:rsidR="00C77B85">
        <w:t>on</w:t>
      </w:r>
      <w:proofErr w:type="gramEnd"/>
      <w:r w:rsidR="00C77B85">
        <w:t xml:space="preserve"> its facts.</w:t>
      </w:r>
    </w:p>
    <w:p w14:paraId="47EF6E65" w14:textId="033D8338" w:rsidR="00AD1624" w:rsidRDefault="00AD1624" w:rsidP="008345E8">
      <w:r>
        <w:t xml:space="preserve">In </w:t>
      </w:r>
      <w:r w:rsidRPr="00AD1624">
        <w:rPr>
          <w:i/>
          <w:iCs/>
        </w:rPr>
        <w:t>Catahoula Parish School Board v. La. Machinery Rentals</w:t>
      </w:r>
      <w:r>
        <w:t xml:space="preserve">, LLC, 2012-2504 (La. 10/15/13), 124 So.3d 1065, the Louisiana Supreme Court held that the requirements of La. R.S. 47:337.51(A) are mandatory, and that a notice not issued in strict compliance with the statute </w:t>
      </w:r>
      <w:r w:rsidR="0064192B">
        <w:t>doe</w:t>
      </w:r>
      <w:r>
        <w:t xml:space="preserve">s not </w:t>
      </w:r>
      <w:r w:rsidR="0064192B">
        <w:t xml:space="preserve">have </w:t>
      </w:r>
      <w:r w:rsidR="0064192B">
        <w:lastRenderedPageBreak/>
        <w:t xml:space="preserve">the effect of </w:t>
      </w:r>
      <w:r>
        <w:t xml:space="preserve">a final assessment. </w:t>
      </w:r>
      <w:r w:rsidRPr="00AD1624">
        <w:rPr>
          <w:i/>
          <w:iCs/>
        </w:rPr>
        <w:t>Id.</w:t>
      </w:r>
      <w:r>
        <w:t xml:space="preserve"> at 1076. The notice at issue in that case did not notify the taxpayer of their sixty-day window for filing a protest with the collector. The collector eventually sought to collect the tax by summary proceedings. As a predicate for bringing the summary rule, however, the collector had to rely on the finality of the underlying assessment. Because the assessment was </w:t>
      </w:r>
      <w:r w:rsidR="0064192B">
        <w:t xml:space="preserve">deficient, however, it was </w:t>
      </w:r>
      <w:r>
        <w:t>not final</w:t>
      </w:r>
      <w:r w:rsidR="002F0AD6">
        <w:t>,</w:t>
      </w:r>
      <w:r w:rsidR="0064192B">
        <w:t xml:space="preserve"> and the </w:t>
      </w:r>
      <w:r w:rsidR="002F0AD6">
        <w:t xml:space="preserve">taxpayer was not constrained by the rules of </w:t>
      </w:r>
      <w:r w:rsidR="0064192B">
        <w:t>summary procedure</w:t>
      </w:r>
      <w:r>
        <w:t>.</w:t>
      </w:r>
    </w:p>
    <w:p w14:paraId="11CAAEA9" w14:textId="2D3D1E86" w:rsidR="00C10C9D" w:rsidRDefault="00AD1624" w:rsidP="008345E8">
      <w:r>
        <w:t xml:space="preserve">In sum, the Occupancy Tax Notice is not a final assessment. The underlying tax is effectively a local sales tax governed by the ULSTC. </w:t>
      </w:r>
      <w:proofErr w:type="gramStart"/>
      <w:r>
        <w:t>The ULSTC</w:t>
      </w:r>
      <w:proofErr w:type="gramEnd"/>
      <w:r>
        <w:t xml:space="preserve"> requires that the taxpayer be notified of their right to file an appeal with the Board. The Occupancy Tax Notice did not strictly adhere to this statutory requirement.</w:t>
      </w:r>
      <w:r w:rsidR="00F12A4C">
        <w:t xml:space="preserve"> Accordingly, it could not have had the effect of interrupting prescription.</w:t>
      </w:r>
    </w:p>
    <w:p w14:paraId="786E86EF" w14:textId="1C5E0EC8" w:rsidR="00F12A4C" w:rsidRDefault="00F12A4C" w:rsidP="008345E8">
      <w:r>
        <w:t xml:space="preserve">The latest tax period at issue for occupancy tax was </w:t>
      </w:r>
      <w:r w:rsidR="006F7C1E">
        <w:t>June</w:t>
      </w:r>
      <w:r>
        <w:t xml:space="preserve"> 2019. The tax became due the following month, i.e. Ju</w:t>
      </w:r>
      <w:r w:rsidR="006F7C1E">
        <w:t>ly</w:t>
      </w:r>
      <w:r>
        <w:t xml:space="preserve"> 2019. </w:t>
      </w:r>
      <w:r w:rsidR="002F0AD6">
        <w:t>T</w:t>
      </w:r>
      <w:r>
        <w:t>axes prescribe three years from December 31</w:t>
      </w:r>
      <w:r w:rsidRPr="00F12A4C">
        <w:rPr>
          <w:vertAlign w:val="superscript"/>
        </w:rPr>
        <w:t>st</w:t>
      </w:r>
      <w:r>
        <w:t xml:space="preserve"> in the year the</w:t>
      </w:r>
      <w:r w:rsidR="006F7C1E">
        <w:t xml:space="preserve">y </w:t>
      </w:r>
      <w:r>
        <w:t xml:space="preserve">become due. </w:t>
      </w:r>
      <w:r w:rsidRPr="00F12A4C">
        <w:rPr>
          <w:i/>
          <w:iCs/>
        </w:rPr>
        <w:t>See</w:t>
      </w:r>
      <w:r>
        <w:t xml:space="preserve"> La. Const. art. VII, § 16. The</w:t>
      </w:r>
      <w:r w:rsidR="002F0AD6">
        <w:t>refore, the</w:t>
      </w:r>
      <w:r>
        <w:t xml:space="preserve"> occupancy taxes would normally have prescribed on December 31, 2023. </w:t>
      </w:r>
    </w:p>
    <w:p w14:paraId="3F995BCE" w14:textId="2F6C5927" w:rsidR="009E1E58" w:rsidRDefault="009E1E58" w:rsidP="008345E8">
      <w:r>
        <w:t xml:space="preserve">However, beginning October 26, 2021, Civeo and the Collector entered into consecutive agreements to suspend prescription as to occupancy taxes due for the taxable periods December 1, 2017, through December 31, 2019. Those agreements were not introduced into the record on summary judgment. Nevertheless, the parties stipulated that the </w:t>
      </w:r>
      <w:r>
        <w:lastRenderedPageBreak/>
        <w:t>agreements “provided for the suspension of prescription of the affected taxes” through “December 31, 2023.”</w:t>
      </w:r>
      <w:r>
        <w:rPr>
          <w:rStyle w:val="FootnoteReference"/>
        </w:rPr>
        <w:footnoteReference w:id="12"/>
      </w:r>
    </w:p>
    <w:p w14:paraId="567B1B60" w14:textId="378D83BA" w:rsidR="008B3F7F" w:rsidRDefault="008B3F7F" w:rsidP="008345E8">
      <w:r>
        <w:t>Generally, the “</w:t>
      </w:r>
      <w:r w:rsidRPr="008B3F7F">
        <w:t>period of suspension is not counted toward accrual of prescription. Prescription commences to run again upon the termination of the period of suspension.</w:t>
      </w:r>
      <w:r>
        <w:t xml:space="preserve">” La. C.C. art. 3472. </w:t>
      </w:r>
      <w:r w:rsidRPr="008B3F7F">
        <w:t xml:space="preserve"> </w:t>
      </w:r>
      <w:r>
        <w:t>“[T]</w:t>
      </w:r>
      <w:r w:rsidRPr="008B3F7F">
        <w:t xml:space="preserve">he clock merely stops running during the suspension, and thereafter the </w:t>
      </w:r>
      <w:proofErr w:type="spellStart"/>
      <w:r w:rsidRPr="008B3F7F">
        <w:t>obligee</w:t>
      </w:r>
      <w:proofErr w:type="spellEnd"/>
      <w:r w:rsidRPr="008B3F7F">
        <w:t xml:space="preserve"> has only so much of the prescriptive period as was remaining when the suspension began.</w:t>
      </w:r>
      <w:r>
        <w:t xml:space="preserve">” </w:t>
      </w:r>
      <w:r w:rsidRPr="008B3F7F">
        <w:rPr>
          <w:i/>
          <w:iCs/>
        </w:rPr>
        <w:t>Eastin v. Entergy Corp.</w:t>
      </w:r>
      <w:r>
        <w:t xml:space="preserve">, 07-212, p. 12 (La. App. 5 Cir. 10/16/07), 971 So.2d 374, 381, </w:t>
      </w:r>
      <w:r w:rsidRPr="008B3F7F">
        <w:rPr>
          <w:i/>
          <w:iCs/>
        </w:rPr>
        <w:t>writ denied</w:t>
      </w:r>
      <w:r>
        <w:t xml:space="preserve">, 2007-2214 (La. 1/11/08); 972 So.2d 1167 (citing </w:t>
      </w:r>
      <w:r w:rsidRPr="008B3F7F">
        <w:rPr>
          <w:i/>
          <w:iCs/>
        </w:rPr>
        <w:t>Adams v. Stalder</w:t>
      </w:r>
      <w:r w:rsidRPr="008B3F7F">
        <w:t>, 06–0051 (La.</w:t>
      </w:r>
      <w:r>
        <w:t xml:space="preserve"> </w:t>
      </w:r>
      <w:r w:rsidRPr="008B3F7F">
        <w:t>App. 1 Cir. 3/17/06), 934 So.2d 722</w:t>
      </w:r>
      <w:r>
        <w:t>)</w:t>
      </w:r>
      <w:r w:rsidRPr="008B3F7F">
        <w:t>.</w:t>
      </w:r>
    </w:p>
    <w:p w14:paraId="40CDC5E4" w14:textId="5F0602E2" w:rsidR="00614532" w:rsidRDefault="008B3F7F" w:rsidP="008345E8">
      <w:r>
        <w:t>The period between December 31, 2020</w:t>
      </w:r>
      <w:r w:rsidR="00C96785">
        <w:t>,</w:t>
      </w:r>
      <w:r>
        <w:t xml:space="preserve"> and October 26, 2021, was </w:t>
      </w:r>
      <w:r w:rsidRPr="008B3F7F">
        <w:t>299 days</w:t>
      </w:r>
      <w:r>
        <w:t xml:space="preserve">. Prescription was suspended and did not run from October 26, 2021, to December 31, 2023. After December 31, 2023, however, there would have been an additional </w:t>
      </w:r>
      <w:r w:rsidR="008F1827">
        <w:t>829 days left in the three-year prescriptive period. Based on that computation of time, the occupancy taxes would not prescribe until April 8, 2026.</w:t>
      </w:r>
      <w:r w:rsidR="00614532">
        <w:t xml:space="preserve"> The specific terms of the agreements may have </w:t>
      </w:r>
      <w:proofErr w:type="gramStart"/>
      <w:r w:rsidR="00614532">
        <w:t>provided</w:t>
      </w:r>
      <w:proofErr w:type="gramEnd"/>
      <w:r w:rsidR="00614532">
        <w:t xml:space="preserve"> for an earlier prescriptive date, but no such terms are available to the Board in the competent summary judgment record.</w:t>
      </w:r>
    </w:p>
    <w:p w14:paraId="59309DD1" w14:textId="4FCBFC35" w:rsidR="008B3F7F" w:rsidRDefault="00614532" w:rsidP="008345E8">
      <w:r>
        <w:t>Of course, La. R.S. 47:337.67(B)(3) also includes a broad provision that prescription is interrupted (and thereafter begins anew) from each “</w:t>
      </w:r>
      <w:r w:rsidRPr="00614532">
        <w:t xml:space="preserve">filing of any pleading, either by the collector or the taxpayer, with the Board </w:t>
      </w:r>
      <w:r w:rsidRPr="00614532">
        <w:lastRenderedPageBreak/>
        <w:t>of Tax Appeals or with any state or federal court.</w:t>
      </w:r>
      <w:r>
        <w:t>”</w:t>
      </w:r>
      <w:r w:rsidR="008F1827">
        <w:t xml:space="preserve"> </w:t>
      </w:r>
      <w:r w:rsidR="002F0AD6">
        <w:t xml:space="preserve">As such, Civeo has not demonstrated </w:t>
      </w:r>
      <w:r w:rsidR="008F1827">
        <w:t>that the occupancy taxes are prescribed</w:t>
      </w:r>
      <w:r>
        <w:t>, although their collection could need to be brought by an authorized procedural mechanism of collection apart from the pre-existing assessment. La. R.S. 47:337.45(A).</w:t>
      </w:r>
    </w:p>
    <w:p w14:paraId="352B3A54" w14:textId="251D1860" w:rsidR="008F1827" w:rsidRPr="008F1827" w:rsidRDefault="008F1827" w:rsidP="00A93686">
      <w:pPr>
        <w:pStyle w:val="Heading2"/>
      </w:pPr>
      <w:r w:rsidRPr="008F1827">
        <w:t>Conclusion</w:t>
      </w:r>
    </w:p>
    <w:p w14:paraId="4BE3C62B" w14:textId="77777777" w:rsidR="00614532" w:rsidRDefault="008F1827" w:rsidP="008345E8">
      <w:r>
        <w:t xml:space="preserve">For the reasons stated herein, the Board will deny Civeo’s Motion for Summary Judgment. For Civeo to prevail at this stage, the undisputed facts would need to show that it did not operate a hotel or did not furnish sleeping rooms to transient guests. However, the competent summary judgment evidence shows that Civeo did operate a physical establishment where sleeping rooms were furnished to LACC’s employees. </w:t>
      </w:r>
    </w:p>
    <w:p w14:paraId="56FF03AD" w14:textId="7C362B5F" w:rsidR="006F7C1E" w:rsidRDefault="008F1827" w:rsidP="008345E8">
      <w:r>
        <w:t>Those employees stayed in the rooms temporarily and not as permanent residents. For th</w:t>
      </w:r>
      <w:r w:rsidR="006F7C1E">
        <w:t>e</w:t>
      </w:r>
      <w:r>
        <w:t xml:space="preserve">se reasons, based on the evidence available to the Board at this juncture, Civeo appears to have engaged in </w:t>
      </w:r>
      <w:r w:rsidR="006F7C1E">
        <w:t>the</w:t>
      </w:r>
      <w:r>
        <w:t xml:space="preserve"> taxable sale of services. Furthermore, Civeo has not </w:t>
      </w:r>
      <w:r w:rsidR="00E97CF9">
        <w:t xml:space="preserve">demonstrated that </w:t>
      </w:r>
      <w:r>
        <w:t>the occupancy taxes for the Tax Periods at Issue are prescribed. The</w:t>
      </w:r>
      <w:r w:rsidR="008B7A6F">
        <w:t>se</w:t>
      </w:r>
      <w:r>
        <w:t xml:space="preserve"> unresolved </w:t>
      </w:r>
      <w:r w:rsidR="008B7A6F">
        <w:t xml:space="preserve">issues may be </w:t>
      </w:r>
      <w:r>
        <w:t xml:space="preserve">resolved </w:t>
      </w:r>
      <w:r w:rsidR="008B7A6F">
        <w:t>either by new Motions for Summary Judgment and competent accompanying evidence</w:t>
      </w:r>
      <w:r w:rsidR="00E97CF9">
        <w:t>,</w:t>
      </w:r>
      <w:r w:rsidR="008B7A6F">
        <w:t xml:space="preserve"> or </w:t>
      </w:r>
      <w:r>
        <w:t>at trial</w:t>
      </w:r>
      <w:r w:rsidR="008B7A6F">
        <w:t>.</w:t>
      </w:r>
    </w:p>
    <w:p w14:paraId="453B40DC" w14:textId="77777777" w:rsidR="00A93686" w:rsidRPr="00A93686" w:rsidRDefault="00A93686" w:rsidP="00DA5BCB">
      <w:pPr>
        <w:spacing w:after="120" w:line="360" w:lineRule="auto"/>
        <w:rPr>
          <w:b/>
          <w:bCs/>
          <w:kern w:val="2"/>
          <w14:ligatures w14:val="standardContextual"/>
        </w:rPr>
      </w:pPr>
      <w:r w:rsidRPr="00A93686">
        <w:rPr>
          <w:b/>
          <w:bCs/>
          <w:kern w:val="2"/>
          <w14:ligatures w14:val="standardContextual"/>
        </w:rPr>
        <w:t>Baton Rouge, Louisiana, on this 7</w:t>
      </w:r>
      <w:r w:rsidRPr="00A93686">
        <w:rPr>
          <w:b/>
          <w:bCs/>
          <w:kern w:val="2"/>
          <w:vertAlign w:val="superscript"/>
          <w14:ligatures w14:val="standardContextual"/>
        </w:rPr>
        <w:t>th</w:t>
      </w:r>
      <w:r w:rsidRPr="00A93686">
        <w:rPr>
          <w:b/>
          <w:bCs/>
          <w:kern w:val="2"/>
          <w14:ligatures w14:val="standardContextual"/>
        </w:rPr>
        <w:t xml:space="preserve"> Day of </w:t>
      </w:r>
      <w:proofErr w:type="gramStart"/>
      <w:r w:rsidRPr="00A93686">
        <w:rPr>
          <w:b/>
          <w:bCs/>
          <w:kern w:val="2"/>
          <w14:ligatures w14:val="standardContextual"/>
        </w:rPr>
        <w:t>April,</w:t>
      </w:r>
      <w:proofErr w:type="gramEnd"/>
      <w:r w:rsidRPr="00A93686">
        <w:rPr>
          <w:b/>
          <w:bCs/>
          <w:kern w:val="2"/>
          <w14:ligatures w14:val="standardContextual"/>
        </w:rPr>
        <w:t xml:space="preserve"> 2026.</w:t>
      </w:r>
    </w:p>
    <w:p w14:paraId="0D341CB4" w14:textId="77777777" w:rsidR="00A93686" w:rsidRPr="00A93686" w:rsidRDefault="00A93686" w:rsidP="00DA5BCB">
      <w:pPr>
        <w:spacing w:after="120" w:line="360" w:lineRule="auto"/>
        <w:rPr>
          <w:b/>
          <w:bCs/>
          <w:kern w:val="2"/>
          <w14:ligatures w14:val="standardContextual"/>
        </w:rPr>
      </w:pPr>
      <w:r w:rsidRPr="00A93686">
        <w:rPr>
          <w:b/>
          <w:bCs/>
          <w:kern w:val="2"/>
          <w14:ligatures w14:val="standardContextual"/>
        </w:rPr>
        <w:t>For the Board:</w:t>
      </w:r>
    </w:p>
    <w:p w14:paraId="233DE4A2" w14:textId="77777777" w:rsidR="00A93686" w:rsidRPr="00A93686" w:rsidRDefault="00A93686" w:rsidP="00DA5BCB">
      <w:pPr>
        <w:spacing w:after="120" w:line="360" w:lineRule="auto"/>
        <w:rPr>
          <w:b/>
          <w:bCs/>
          <w:kern w:val="2"/>
          <w14:ligatures w14:val="standardContextual"/>
        </w:rPr>
      </w:pPr>
      <w:r w:rsidRPr="00A93686">
        <w:rPr>
          <w:b/>
          <w:bCs/>
          <w:kern w:val="2"/>
          <w14:ligatures w14:val="standardContextual"/>
        </w:rPr>
        <w:t>Hon. Cade R. Cole</w:t>
      </w:r>
    </w:p>
    <w:p w14:paraId="1878DA05" w14:textId="77777777" w:rsidR="00A93686" w:rsidRPr="00A93686" w:rsidRDefault="00A93686" w:rsidP="00DA5BCB">
      <w:pPr>
        <w:spacing w:after="120" w:line="360" w:lineRule="auto"/>
        <w:rPr>
          <w:b/>
          <w:bCs/>
          <w:kern w:val="2"/>
          <w14:ligatures w14:val="standardContextual"/>
        </w:rPr>
      </w:pPr>
      <w:r w:rsidRPr="00A93686">
        <w:rPr>
          <w:b/>
          <w:bCs/>
          <w:kern w:val="2"/>
          <w14:ligatures w14:val="standardContextual"/>
        </w:rPr>
        <w:t xml:space="preserve">Local Tax Judge </w:t>
      </w:r>
      <w:r w:rsidRPr="00A93686">
        <w:rPr>
          <w:b/>
          <w:bCs/>
          <w:i/>
          <w:kern w:val="2"/>
          <w14:ligatures w14:val="standardContextual"/>
        </w:rPr>
        <w:t>Ad Hoc</w:t>
      </w:r>
    </w:p>
    <w:p w14:paraId="6F50AA03" w14:textId="77777777" w:rsidR="00A93686" w:rsidRPr="00A93686" w:rsidRDefault="00A93686" w:rsidP="00DA5BCB">
      <w:pPr>
        <w:spacing w:after="120" w:line="360" w:lineRule="auto"/>
        <w:rPr>
          <w:b/>
          <w:bCs/>
          <w:kern w:val="2"/>
          <w14:ligatures w14:val="standardContextual"/>
        </w:rPr>
      </w:pPr>
      <w:r w:rsidRPr="00A93686">
        <w:rPr>
          <w:b/>
          <w:bCs/>
          <w:kern w:val="2"/>
          <w14:ligatures w14:val="standardContextual"/>
        </w:rPr>
        <w:t>Board of Tax Appeals</w:t>
      </w:r>
    </w:p>
    <w:p w14:paraId="1F928CD3" w14:textId="2786900D" w:rsidR="00511C5C" w:rsidRPr="008B7A6F" w:rsidRDefault="00A93686" w:rsidP="00DA5BCB">
      <w:pPr>
        <w:spacing w:after="120" w:line="360" w:lineRule="auto"/>
      </w:pPr>
      <w:r w:rsidRPr="00A93686">
        <w:rPr>
          <w:b/>
          <w:bCs/>
          <w:kern w:val="2"/>
          <w14:ligatures w14:val="standardContextual"/>
        </w:rPr>
        <w:t>State of Louisiana</w:t>
      </w:r>
    </w:p>
    <w:sectPr w:rsidR="00511C5C" w:rsidRPr="008B7A6F" w:rsidSect="007C42B6">
      <w:footnotePr>
        <w:numRestart w:val="eachSect"/>
      </w:footnotePr>
      <w:type w:val="continuous"/>
      <w:pgSz w:w="12240" w:h="20160" w:code="5"/>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6452" w14:textId="77777777" w:rsidR="00DE75C5" w:rsidRDefault="00DE75C5" w:rsidP="008345E8">
      <w:r>
        <w:separator/>
      </w:r>
    </w:p>
  </w:endnote>
  <w:endnote w:type="continuationSeparator" w:id="0">
    <w:p w14:paraId="20843EF0" w14:textId="77777777" w:rsidR="00DE75C5" w:rsidRDefault="00DE75C5" w:rsidP="0083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8189521"/>
      <w:docPartObj>
        <w:docPartGallery w:val="Page Numbers (Bottom of Page)"/>
        <w:docPartUnique/>
      </w:docPartObj>
    </w:sdtPr>
    <w:sdtEndPr>
      <w:rPr>
        <w:noProof/>
      </w:rPr>
    </w:sdtEndPr>
    <w:sdtContent>
      <w:p w14:paraId="45593451" w14:textId="2DF89648" w:rsidR="005F3D10" w:rsidRPr="008345E8" w:rsidRDefault="005F3D10" w:rsidP="008345E8">
        <w:pPr>
          <w:pStyle w:val="Footer"/>
          <w:spacing w:after="0"/>
          <w:ind w:firstLine="0"/>
          <w:jc w:val="center"/>
          <w:rPr>
            <w:sz w:val="24"/>
            <w:szCs w:val="24"/>
          </w:rPr>
        </w:pPr>
        <w:r w:rsidRPr="008345E8">
          <w:rPr>
            <w:sz w:val="24"/>
            <w:szCs w:val="24"/>
          </w:rPr>
          <w:fldChar w:fldCharType="begin"/>
        </w:r>
        <w:r w:rsidRPr="008345E8">
          <w:rPr>
            <w:sz w:val="24"/>
            <w:szCs w:val="24"/>
          </w:rPr>
          <w:instrText xml:space="preserve"> PAGE   \* MERGEFORMAT </w:instrText>
        </w:r>
        <w:r w:rsidRPr="008345E8">
          <w:rPr>
            <w:sz w:val="24"/>
            <w:szCs w:val="24"/>
          </w:rPr>
          <w:fldChar w:fldCharType="separate"/>
        </w:r>
        <w:r w:rsidRPr="008345E8">
          <w:rPr>
            <w:noProof/>
            <w:sz w:val="24"/>
            <w:szCs w:val="24"/>
          </w:rPr>
          <w:t>2</w:t>
        </w:r>
        <w:r w:rsidRPr="008345E8">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CBC2" w14:textId="77777777" w:rsidR="00DE75C5" w:rsidRDefault="00DE75C5" w:rsidP="008345E8">
      <w:r>
        <w:separator/>
      </w:r>
    </w:p>
  </w:footnote>
  <w:footnote w:type="continuationSeparator" w:id="0">
    <w:p w14:paraId="5F0C66D1" w14:textId="77777777" w:rsidR="00DE75C5" w:rsidRDefault="00DE75C5" w:rsidP="008345E8">
      <w:r>
        <w:continuationSeparator/>
      </w:r>
    </w:p>
  </w:footnote>
  <w:footnote w:id="1">
    <w:p w14:paraId="16B1C63F" w14:textId="5ADAD06C" w:rsidR="007C42B6" w:rsidRPr="008345E8" w:rsidRDefault="007C42B6"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Justice Cole was appointed Local Tax Judge </w:t>
      </w:r>
      <w:r w:rsidRPr="008345E8">
        <w:rPr>
          <w:i/>
          <w:iCs/>
          <w:sz w:val="24"/>
          <w:szCs w:val="24"/>
        </w:rPr>
        <w:t>Ad Hoc</w:t>
      </w:r>
      <w:r w:rsidRPr="008345E8">
        <w:rPr>
          <w:sz w:val="24"/>
          <w:szCs w:val="24"/>
        </w:rPr>
        <w:t xml:space="preserve"> by Order of the Louisiana Supreme Court on March 18, 2025, to complete this case.</w:t>
      </w:r>
    </w:p>
  </w:footnote>
  <w:footnote w:id="2">
    <w:p w14:paraId="6C41AA3C" w14:textId="2E9D127B" w:rsidR="007C42B6" w:rsidRPr="008345E8" w:rsidRDefault="007C42B6"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Justice Cole was appointed Local Tax Judge </w:t>
      </w:r>
      <w:r w:rsidRPr="008345E8">
        <w:rPr>
          <w:i/>
          <w:iCs/>
          <w:sz w:val="24"/>
          <w:szCs w:val="24"/>
        </w:rPr>
        <w:t>Ad Hoc</w:t>
      </w:r>
      <w:r w:rsidRPr="008345E8">
        <w:rPr>
          <w:sz w:val="24"/>
          <w:szCs w:val="24"/>
        </w:rPr>
        <w:t xml:space="preserve"> by Order of the Louisiana Supreme Court on March 18, 2025, to complete this case.</w:t>
      </w:r>
    </w:p>
  </w:footnote>
  <w:footnote w:id="3">
    <w:p w14:paraId="72D4AEF0" w14:textId="4E550491" w:rsidR="003A7BD9" w:rsidRPr="008345E8" w:rsidRDefault="003A7BD9"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The Lease dictated that development and construction </w:t>
      </w:r>
      <w:r w:rsidR="006F7C1E" w:rsidRPr="008345E8">
        <w:rPr>
          <w:sz w:val="24"/>
          <w:szCs w:val="24"/>
        </w:rPr>
        <w:t xml:space="preserve">would </w:t>
      </w:r>
      <w:r w:rsidRPr="008345E8">
        <w:rPr>
          <w:sz w:val="24"/>
          <w:szCs w:val="24"/>
        </w:rPr>
        <w:t>proceed in four “phases.”</w:t>
      </w:r>
    </w:p>
  </w:footnote>
  <w:footnote w:id="4">
    <w:p w14:paraId="7C806282" w14:textId="687E3F73" w:rsidR="003A7BD9" w:rsidRPr="008345E8" w:rsidRDefault="003A7BD9"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The Le</w:t>
      </w:r>
      <w:r w:rsidR="00381D04" w:rsidRPr="008345E8">
        <w:rPr>
          <w:sz w:val="24"/>
          <w:szCs w:val="24"/>
        </w:rPr>
        <w:t>as</w:t>
      </w:r>
      <w:r w:rsidRPr="008345E8">
        <w:rPr>
          <w:sz w:val="24"/>
          <w:szCs w:val="24"/>
        </w:rPr>
        <w:t xml:space="preserve">e </w:t>
      </w:r>
      <w:r w:rsidR="00381D04" w:rsidRPr="008345E8">
        <w:rPr>
          <w:sz w:val="24"/>
          <w:szCs w:val="24"/>
        </w:rPr>
        <w:t xml:space="preserve">defined this period as the “Initial Term.” The Lease further provided </w:t>
      </w:r>
      <w:r w:rsidRPr="008345E8">
        <w:rPr>
          <w:sz w:val="24"/>
          <w:szCs w:val="24"/>
        </w:rPr>
        <w:t xml:space="preserve">the </w:t>
      </w:r>
      <w:r w:rsidR="00381D04" w:rsidRPr="008345E8">
        <w:rPr>
          <w:sz w:val="24"/>
          <w:szCs w:val="24"/>
        </w:rPr>
        <w:t xml:space="preserve">Lessee an </w:t>
      </w:r>
      <w:r w:rsidRPr="008345E8">
        <w:rPr>
          <w:sz w:val="24"/>
          <w:szCs w:val="24"/>
        </w:rPr>
        <w:t xml:space="preserve">option </w:t>
      </w:r>
      <w:r w:rsidR="00381D04" w:rsidRPr="008345E8">
        <w:rPr>
          <w:sz w:val="24"/>
          <w:szCs w:val="24"/>
        </w:rPr>
        <w:t xml:space="preserve">to </w:t>
      </w:r>
      <w:r w:rsidRPr="008345E8">
        <w:rPr>
          <w:sz w:val="24"/>
          <w:szCs w:val="24"/>
        </w:rPr>
        <w:t xml:space="preserve">extend the Lease by </w:t>
      </w:r>
      <w:r w:rsidR="00381D04" w:rsidRPr="008345E8">
        <w:rPr>
          <w:sz w:val="24"/>
          <w:szCs w:val="24"/>
        </w:rPr>
        <w:t xml:space="preserve">additional </w:t>
      </w:r>
      <w:r w:rsidRPr="008345E8">
        <w:rPr>
          <w:sz w:val="24"/>
          <w:szCs w:val="24"/>
        </w:rPr>
        <w:t xml:space="preserve">six-month increments. </w:t>
      </w:r>
      <w:r w:rsidR="00381D04" w:rsidRPr="008345E8">
        <w:rPr>
          <w:sz w:val="24"/>
          <w:szCs w:val="24"/>
        </w:rPr>
        <w:t>However, t</w:t>
      </w:r>
      <w:r w:rsidRPr="008345E8">
        <w:rPr>
          <w:sz w:val="24"/>
          <w:szCs w:val="24"/>
        </w:rPr>
        <w:t xml:space="preserve">he Lease was </w:t>
      </w:r>
      <w:r w:rsidR="00381D04" w:rsidRPr="008345E8">
        <w:rPr>
          <w:sz w:val="24"/>
          <w:szCs w:val="24"/>
        </w:rPr>
        <w:t xml:space="preserve">never </w:t>
      </w:r>
      <w:r w:rsidRPr="008345E8">
        <w:rPr>
          <w:sz w:val="24"/>
          <w:szCs w:val="24"/>
        </w:rPr>
        <w:t>extended</w:t>
      </w:r>
      <w:r w:rsidR="00381D04" w:rsidRPr="008345E8">
        <w:rPr>
          <w:sz w:val="24"/>
          <w:szCs w:val="24"/>
        </w:rPr>
        <w:t xml:space="preserve"> beyond the Initial Term</w:t>
      </w:r>
      <w:r w:rsidRPr="008345E8">
        <w:rPr>
          <w:sz w:val="24"/>
          <w:szCs w:val="24"/>
        </w:rPr>
        <w:t>.</w:t>
      </w:r>
    </w:p>
  </w:footnote>
  <w:footnote w:id="5">
    <w:p w14:paraId="4339CE1B" w14:textId="303125A7" w:rsidR="005C78DE" w:rsidRPr="008345E8" w:rsidRDefault="005C78DE"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w:t>
      </w:r>
      <w:r w:rsidR="00F01C08" w:rsidRPr="008345E8">
        <w:rPr>
          <w:sz w:val="24"/>
          <w:szCs w:val="24"/>
        </w:rPr>
        <w:t xml:space="preserve">Transient, Merriam-Webster’s Dictionary, available at </w:t>
      </w:r>
      <w:r w:rsidRPr="008345E8">
        <w:rPr>
          <w:sz w:val="24"/>
          <w:szCs w:val="24"/>
        </w:rPr>
        <w:t>https://www.merriam-webster.com/dictionary/transient</w:t>
      </w:r>
      <w:r w:rsidR="00F01C08" w:rsidRPr="008345E8">
        <w:rPr>
          <w:sz w:val="24"/>
          <w:szCs w:val="24"/>
        </w:rPr>
        <w:t>.</w:t>
      </w:r>
    </w:p>
  </w:footnote>
  <w:footnote w:id="6">
    <w:p w14:paraId="45E7EBD0" w14:textId="015EE2D8" w:rsidR="007705B2" w:rsidRPr="008345E8" w:rsidRDefault="007705B2"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TRANSIENT, Black’s Law Dictionary (12th ed. 2024).</w:t>
      </w:r>
    </w:p>
  </w:footnote>
  <w:footnote w:id="7">
    <w:p w14:paraId="1BA4C6E4" w14:textId="16602457" w:rsidR="005C78DE" w:rsidRPr="008345E8" w:rsidRDefault="005C78DE"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w:t>
      </w:r>
      <w:r w:rsidR="00F01C08" w:rsidRPr="008345E8">
        <w:rPr>
          <w:sz w:val="24"/>
          <w:szCs w:val="24"/>
        </w:rPr>
        <w:t xml:space="preserve">Guest, Merriam-Webster’s Dictionary, available at </w:t>
      </w:r>
      <w:r w:rsidRPr="008345E8">
        <w:rPr>
          <w:sz w:val="24"/>
          <w:szCs w:val="24"/>
        </w:rPr>
        <w:t>https://www.merriam-webster.com/dictionary/guest</w:t>
      </w:r>
      <w:r w:rsidR="00F01C08" w:rsidRPr="008345E8">
        <w:rPr>
          <w:sz w:val="24"/>
          <w:szCs w:val="24"/>
        </w:rPr>
        <w:t>.</w:t>
      </w:r>
    </w:p>
  </w:footnote>
  <w:footnote w:id="8">
    <w:p w14:paraId="6068DD79" w14:textId="1B54918A" w:rsidR="007705B2" w:rsidRPr="008345E8" w:rsidRDefault="007705B2"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GUEST, Black’s Law Dictionary (12th ed. 2024).</w:t>
      </w:r>
    </w:p>
  </w:footnote>
  <w:footnote w:id="9">
    <w:p w14:paraId="3292C2A9" w14:textId="2607FBD3" w:rsidR="00EE0ADA" w:rsidRPr="008345E8" w:rsidRDefault="00EE0ADA"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Revenue Ruling No. 03-007 stated that if the contract for lodging was for a duration of more than two months, LDR would presume that the guest was “permanent.”</w:t>
      </w:r>
    </w:p>
  </w:footnote>
  <w:footnote w:id="10">
    <w:p w14:paraId="19120CFC" w14:textId="3F17EFD6" w:rsidR="00CA5735" w:rsidRPr="008345E8" w:rsidRDefault="00CA5735"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In </w:t>
      </w:r>
      <w:proofErr w:type="spellStart"/>
      <w:r w:rsidRPr="008345E8">
        <w:rPr>
          <w:i/>
          <w:iCs/>
          <w:sz w:val="24"/>
          <w:szCs w:val="24"/>
        </w:rPr>
        <w:t>Topshelf</w:t>
      </w:r>
      <w:proofErr w:type="spellEnd"/>
      <w:r w:rsidRPr="008345E8">
        <w:rPr>
          <w:i/>
          <w:iCs/>
          <w:sz w:val="24"/>
          <w:szCs w:val="24"/>
        </w:rPr>
        <w:t xml:space="preserve"> Sports, Inc. v. Simpson</w:t>
      </w:r>
      <w:r w:rsidRPr="008345E8">
        <w:rPr>
          <w:sz w:val="24"/>
          <w:szCs w:val="24"/>
        </w:rPr>
        <w:t xml:space="preserve">, 2015-1111 (La. App. 3 Cir. 3/23/16), 186 So.3d 1288, </w:t>
      </w:r>
      <w:r w:rsidRPr="008345E8">
        <w:rPr>
          <w:i/>
          <w:iCs/>
          <w:sz w:val="24"/>
          <w:szCs w:val="24"/>
        </w:rPr>
        <w:t>writ denied</w:t>
      </w:r>
      <w:r w:rsidRPr="008345E8">
        <w:rPr>
          <w:sz w:val="24"/>
          <w:szCs w:val="24"/>
        </w:rPr>
        <w:t>, 2016-0751 (La. 6/3/16), 192 So.3d 74, the Court held:</w:t>
      </w:r>
    </w:p>
    <w:p w14:paraId="7150909F" w14:textId="5950EA30" w:rsidR="00CA5735" w:rsidRPr="00A93686" w:rsidRDefault="00CA5735" w:rsidP="00A93686">
      <w:pPr>
        <w:pStyle w:val="Quote"/>
        <w:rPr>
          <w:sz w:val="24"/>
          <w:szCs w:val="24"/>
        </w:rPr>
      </w:pPr>
      <w:proofErr w:type="spellStart"/>
      <w:r w:rsidRPr="00A93686">
        <w:rPr>
          <w:sz w:val="24"/>
          <w:szCs w:val="24"/>
        </w:rPr>
        <w:t>Topshelf</w:t>
      </w:r>
      <w:proofErr w:type="spellEnd"/>
      <w:r w:rsidRPr="00A93686">
        <w:rPr>
          <w:sz w:val="24"/>
          <w:szCs w:val="24"/>
        </w:rPr>
        <w:t xml:space="preserve"> argues that its customers were “paying rent so that they could have control over the facility.” We do not agree. It is a mischaracterization to call the fees paid “rent.” </w:t>
      </w:r>
      <w:proofErr w:type="spellStart"/>
      <w:r w:rsidRPr="00A93686">
        <w:rPr>
          <w:sz w:val="24"/>
          <w:szCs w:val="24"/>
        </w:rPr>
        <w:t>Topshelf</w:t>
      </w:r>
      <w:proofErr w:type="spellEnd"/>
      <w:r w:rsidRPr="00A93686">
        <w:rPr>
          <w:sz w:val="24"/>
          <w:szCs w:val="24"/>
        </w:rPr>
        <w:t xml:space="preserve"> retained ultimate control over the facility.  The fact that </w:t>
      </w:r>
      <w:proofErr w:type="spellStart"/>
      <w:r w:rsidRPr="00A93686">
        <w:rPr>
          <w:sz w:val="24"/>
          <w:szCs w:val="24"/>
        </w:rPr>
        <w:t>Topshelf's</w:t>
      </w:r>
      <w:proofErr w:type="spellEnd"/>
      <w:r w:rsidRPr="00A93686">
        <w:rPr>
          <w:sz w:val="24"/>
          <w:szCs w:val="24"/>
        </w:rPr>
        <w:t xml:space="preserve"> patrons were given the privilege of access to the facility in return for a fee cannot be transformed by designating it as a “lease” in which its patrons paid “rent.”</w:t>
      </w:r>
    </w:p>
    <w:p w14:paraId="52728119" w14:textId="10351AD7" w:rsidR="00CA5735" w:rsidRPr="00A93686" w:rsidRDefault="00CA5735" w:rsidP="00A93686">
      <w:pPr>
        <w:pStyle w:val="Quote"/>
        <w:rPr>
          <w:sz w:val="24"/>
          <w:szCs w:val="24"/>
        </w:rPr>
      </w:pPr>
      <w:r w:rsidRPr="00A93686">
        <w:rPr>
          <w:sz w:val="24"/>
          <w:szCs w:val="24"/>
        </w:rPr>
        <w:t xml:space="preserve">Simply, this is not the kind of a lease envisioned by the legislature as being tax-free. That lease envisions a party having sole continuous control over a building with the legal rights that would go along with it, such as in an apartment rental. </w:t>
      </w:r>
    </w:p>
    <w:p w14:paraId="0DCF6B0F" w14:textId="77777777" w:rsidR="00CA5735" w:rsidRPr="008345E8" w:rsidRDefault="00CA5735" w:rsidP="008345E8">
      <w:pPr>
        <w:pStyle w:val="FootnoteText"/>
        <w:spacing w:line="480" w:lineRule="auto"/>
        <w:rPr>
          <w:sz w:val="24"/>
          <w:szCs w:val="24"/>
        </w:rPr>
      </w:pPr>
      <w:r w:rsidRPr="008345E8">
        <w:rPr>
          <w:i/>
          <w:iCs/>
          <w:sz w:val="24"/>
          <w:szCs w:val="24"/>
        </w:rPr>
        <w:t>Id.</w:t>
      </w:r>
      <w:r w:rsidRPr="008345E8">
        <w:rPr>
          <w:sz w:val="24"/>
          <w:szCs w:val="24"/>
        </w:rPr>
        <w:t xml:space="preserve"> at 1292.</w:t>
      </w:r>
    </w:p>
  </w:footnote>
  <w:footnote w:id="11">
    <w:p w14:paraId="5D3F628B" w14:textId="1B04E669" w:rsidR="00724C3C" w:rsidRPr="008345E8" w:rsidRDefault="00724C3C"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w:t>
      </w:r>
      <w:r w:rsidR="007553BA" w:rsidRPr="008345E8">
        <w:rPr>
          <w:sz w:val="24"/>
          <w:szCs w:val="24"/>
        </w:rPr>
        <w:t xml:space="preserve">1996 </w:t>
      </w:r>
      <w:r w:rsidRPr="008345E8">
        <w:rPr>
          <w:sz w:val="24"/>
          <w:szCs w:val="24"/>
        </w:rPr>
        <w:t>Ordinance Sec. 1-04(b).</w:t>
      </w:r>
    </w:p>
  </w:footnote>
  <w:footnote w:id="12">
    <w:p w14:paraId="2F72449D" w14:textId="69DFA3F4" w:rsidR="009E1E58" w:rsidRPr="008345E8" w:rsidRDefault="009E1E58" w:rsidP="008345E8">
      <w:pPr>
        <w:pStyle w:val="FootnoteText"/>
        <w:spacing w:line="480" w:lineRule="auto"/>
        <w:rPr>
          <w:sz w:val="24"/>
          <w:szCs w:val="24"/>
        </w:rPr>
      </w:pPr>
      <w:r w:rsidRPr="008345E8">
        <w:rPr>
          <w:rStyle w:val="FootnoteReference"/>
          <w:sz w:val="24"/>
          <w:szCs w:val="24"/>
        </w:rPr>
        <w:footnoteRef/>
      </w:r>
      <w:r w:rsidRPr="008345E8">
        <w:rPr>
          <w:sz w:val="24"/>
          <w:szCs w:val="24"/>
        </w:rPr>
        <w:t xml:space="preserve"> </w:t>
      </w:r>
      <w:proofErr w:type="gramStart"/>
      <w:r w:rsidRPr="008345E8">
        <w:rPr>
          <w:sz w:val="24"/>
          <w:szCs w:val="24"/>
        </w:rPr>
        <w:t>Second Set of Joint Stipulations of Fact,</w:t>
      </w:r>
      <w:proofErr w:type="gramEnd"/>
      <w:r w:rsidRPr="008345E8">
        <w:rPr>
          <w:sz w:val="24"/>
          <w:szCs w:val="24"/>
        </w:rPr>
        <w:t xml:space="preserve"> filed February 4, 2025, paragraph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73A"/>
    <w:multiLevelType w:val="multilevel"/>
    <w:tmpl w:val="7876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1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D4"/>
    <w:rsid w:val="0001041A"/>
    <w:rsid w:val="00012F54"/>
    <w:rsid w:val="00036858"/>
    <w:rsid w:val="00041853"/>
    <w:rsid w:val="000429C5"/>
    <w:rsid w:val="0005523C"/>
    <w:rsid w:val="0006121A"/>
    <w:rsid w:val="00074465"/>
    <w:rsid w:val="000B486A"/>
    <w:rsid w:val="000C6EF7"/>
    <w:rsid w:val="000D2594"/>
    <w:rsid w:val="000F1AA5"/>
    <w:rsid w:val="001003FD"/>
    <w:rsid w:val="00106EA3"/>
    <w:rsid w:val="00106F9D"/>
    <w:rsid w:val="00121EF4"/>
    <w:rsid w:val="00125480"/>
    <w:rsid w:val="001435AC"/>
    <w:rsid w:val="0016412C"/>
    <w:rsid w:val="00187104"/>
    <w:rsid w:val="00191FC1"/>
    <w:rsid w:val="001C471E"/>
    <w:rsid w:val="001C5C11"/>
    <w:rsid w:val="001D14DB"/>
    <w:rsid w:val="001D168B"/>
    <w:rsid w:val="001F2468"/>
    <w:rsid w:val="00205277"/>
    <w:rsid w:val="002100B7"/>
    <w:rsid w:val="00211E30"/>
    <w:rsid w:val="00212CD9"/>
    <w:rsid w:val="0022723C"/>
    <w:rsid w:val="00230CBB"/>
    <w:rsid w:val="002529A6"/>
    <w:rsid w:val="00252C0D"/>
    <w:rsid w:val="00253A3E"/>
    <w:rsid w:val="00276616"/>
    <w:rsid w:val="0027664D"/>
    <w:rsid w:val="00276A27"/>
    <w:rsid w:val="002A015F"/>
    <w:rsid w:val="002E3304"/>
    <w:rsid w:val="002F0AD6"/>
    <w:rsid w:val="0032164D"/>
    <w:rsid w:val="00341201"/>
    <w:rsid w:val="00345C61"/>
    <w:rsid w:val="00345ED5"/>
    <w:rsid w:val="00353CE4"/>
    <w:rsid w:val="00360BFE"/>
    <w:rsid w:val="0036179D"/>
    <w:rsid w:val="003631D6"/>
    <w:rsid w:val="00381D04"/>
    <w:rsid w:val="003A28F5"/>
    <w:rsid w:val="003A7BD9"/>
    <w:rsid w:val="003B1175"/>
    <w:rsid w:val="003B425E"/>
    <w:rsid w:val="003E75F5"/>
    <w:rsid w:val="00401BDD"/>
    <w:rsid w:val="00410475"/>
    <w:rsid w:val="00415D85"/>
    <w:rsid w:val="004214EF"/>
    <w:rsid w:val="0042631E"/>
    <w:rsid w:val="00435EB0"/>
    <w:rsid w:val="00436698"/>
    <w:rsid w:val="00454314"/>
    <w:rsid w:val="00454F51"/>
    <w:rsid w:val="004550F3"/>
    <w:rsid w:val="00460B97"/>
    <w:rsid w:val="00477BE0"/>
    <w:rsid w:val="004A4F17"/>
    <w:rsid w:val="004C00B4"/>
    <w:rsid w:val="004C065C"/>
    <w:rsid w:val="004D0EAC"/>
    <w:rsid w:val="004E41BA"/>
    <w:rsid w:val="004E4908"/>
    <w:rsid w:val="004E7C26"/>
    <w:rsid w:val="004F4D08"/>
    <w:rsid w:val="00510509"/>
    <w:rsid w:val="005105F4"/>
    <w:rsid w:val="00511C5C"/>
    <w:rsid w:val="0052724B"/>
    <w:rsid w:val="00527B46"/>
    <w:rsid w:val="005334D2"/>
    <w:rsid w:val="00547904"/>
    <w:rsid w:val="00571F15"/>
    <w:rsid w:val="00577A38"/>
    <w:rsid w:val="00581325"/>
    <w:rsid w:val="00591ED2"/>
    <w:rsid w:val="00597ECF"/>
    <w:rsid w:val="005B04A4"/>
    <w:rsid w:val="005C78DE"/>
    <w:rsid w:val="005D1B72"/>
    <w:rsid w:val="005D5031"/>
    <w:rsid w:val="005E0D24"/>
    <w:rsid w:val="005E0D7B"/>
    <w:rsid w:val="005F1979"/>
    <w:rsid w:val="005F3D10"/>
    <w:rsid w:val="00601703"/>
    <w:rsid w:val="00604857"/>
    <w:rsid w:val="00613B72"/>
    <w:rsid w:val="00614532"/>
    <w:rsid w:val="00615F80"/>
    <w:rsid w:val="00620838"/>
    <w:rsid w:val="00626328"/>
    <w:rsid w:val="0064192B"/>
    <w:rsid w:val="00650C71"/>
    <w:rsid w:val="006770E0"/>
    <w:rsid w:val="006911C9"/>
    <w:rsid w:val="006C5112"/>
    <w:rsid w:val="006D163F"/>
    <w:rsid w:val="006F6378"/>
    <w:rsid w:val="006F7C1E"/>
    <w:rsid w:val="006F7E01"/>
    <w:rsid w:val="006F7ED2"/>
    <w:rsid w:val="0070792A"/>
    <w:rsid w:val="0071001E"/>
    <w:rsid w:val="00724C3C"/>
    <w:rsid w:val="007553BA"/>
    <w:rsid w:val="007557EC"/>
    <w:rsid w:val="0076042A"/>
    <w:rsid w:val="00770288"/>
    <w:rsid w:val="007705B2"/>
    <w:rsid w:val="00771B6F"/>
    <w:rsid w:val="00772D8F"/>
    <w:rsid w:val="007B0583"/>
    <w:rsid w:val="007B1728"/>
    <w:rsid w:val="007C3D4D"/>
    <w:rsid w:val="007C42B6"/>
    <w:rsid w:val="007D56F3"/>
    <w:rsid w:val="007D77AC"/>
    <w:rsid w:val="007E6BDF"/>
    <w:rsid w:val="007E7A2D"/>
    <w:rsid w:val="007F481D"/>
    <w:rsid w:val="00812672"/>
    <w:rsid w:val="008216F8"/>
    <w:rsid w:val="00822C2B"/>
    <w:rsid w:val="00827000"/>
    <w:rsid w:val="008345E8"/>
    <w:rsid w:val="00840C74"/>
    <w:rsid w:val="00867B82"/>
    <w:rsid w:val="00870AAA"/>
    <w:rsid w:val="008810A5"/>
    <w:rsid w:val="00883593"/>
    <w:rsid w:val="00891135"/>
    <w:rsid w:val="008914AD"/>
    <w:rsid w:val="008A4895"/>
    <w:rsid w:val="008B3F7F"/>
    <w:rsid w:val="008B7A6F"/>
    <w:rsid w:val="008C2528"/>
    <w:rsid w:val="008C40EF"/>
    <w:rsid w:val="008D11ED"/>
    <w:rsid w:val="008F1637"/>
    <w:rsid w:val="008F1827"/>
    <w:rsid w:val="009031B5"/>
    <w:rsid w:val="00903550"/>
    <w:rsid w:val="00912540"/>
    <w:rsid w:val="00920D47"/>
    <w:rsid w:val="009231B7"/>
    <w:rsid w:val="00935BF0"/>
    <w:rsid w:val="0093716E"/>
    <w:rsid w:val="009522D4"/>
    <w:rsid w:val="00961038"/>
    <w:rsid w:val="00964AE6"/>
    <w:rsid w:val="00984D1A"/>
    <w:rsid w:val="00987381"/>
    <w:rsid w:val="00996030"/>
    <w:rsid w:val="009C17AF"/>
    <w:rsid w:val="009C40B5"/>
    <w:rsid w:val="009C4DF0"/>
    <w:rsid w:val="009D2F74"/>
    <w:rsid w:val="009E1E58"/>
    <w:rsid w:val="00A02A07"/>
    <w:rsid w:val="00A03D13"/>
    <w:rsid w:val="00A24C45"/>
    <w:rsid w:val="00A374A0"/>
    <w:rsid w:val="00A61DA1"/>
    <w:rsid w:val="00A6303B"/>
    <w:rsid w:val="00A804A0"/>
    <w:rsid w:val="00A81951"/>
    <w:rsid w:val="00A81E79"/>
    <w:rsid w:val="00A93686"/>
    <w:rsid w:val="00A958ED"/>
    <w:rsid w:val="00AA1DFB"/>
    <w:rsid w:val="00AA696B"/>
    <w:rsid w:val="00AC3426"/>
    <w:rsid w:val="00AD1624"/>
    <w:rsid w:val="00AD70CA"/>
    <w:rsid w:val="00AD7366"/>
    <w:rsid w:val="00AD7AEE"/>
    <w:rsid w:val="00AE223E"/>
    <w:rsid w:val="00AE334B"/>
    <w:rsid w:val="00B00571"/>
    <w:rsid w:val="00B01B20"/>
    <w:rsid w:val="00B153F8"/>
    <w:rsid w:val="00B15CEB"/>
    <w:rsid w:val="00B25410"/>
    <w:rsid w:val="00B303AE"/>
    <w:rsid w:val="00B34C80"/>
    <w:rsid w:val="00B7503A"/>
    <w:rsid w:val="00B77686"/>
    <w:rsid w:val="00B94330"/>
    <w:rsid w:val="00B9473D"/>
    <w:rsid w:val="00BA23B2"/>
    <w:rsid w:val="00BA71E7"/>
    <w:rsid w:val="00BD457D"/>
    <w:rsid w:val="00BE0806"/>
    <w:rsid w:val="00BE4F6A"/>
    <w:rsid w:val="00C10C9D"/>
    <w:rsid w:val="00C12831"/>
    <w:rsid w:val="00C17790"/>
    <w:rsid w:val="00C627B5"/>
    <w:rsid w:val="00C7320D"/>
    <w:rsid w:val="00C74A31"/>
    <w:rsid w:val="00C77B85"/>
    <w:rsid w:val="00C82EE1"/>
    <w:rsid w:val="00C96785"/>
    <w:rsid w:val="00CA00A9"/>
    <w:rsid w:val="00CA2905"/>
    <w:rsid w:val="00CA5735"/>
    <w:rsid w:val="00CB6493"/>
    <w:rsid w:val="00CC2E47"/>
    <w:rsid w:val="00CC7353"/>
    <w:rsid w:val="00CE3FFE"/>
    <w:rsid w:val="00D00275"/>
    <w:rsid w:val="00D05E8A"/>
    <w:rsid w:val="00D0629F"/>
    <w:rsid w:val="00D07282"/>
    <w:rsid w:val="00D07EB8"/>
    <w:rsid w:val="00D106CB"/>
    <w:rsid w:val="00D33978"/>
    <w:rsid w:val="00D44CE5"/>
    <w:rsid w:val="00D57763"/>
    <w:rsid w:val="00D8312D"/>
    <w:rsid w:val="00DA5BCB"/>
    <w:rsid w:val="00DC6E81"/>
    <w:rsid w:val="00DD3312"/>
    <w:rsid w:val="00DD42B9"/>
    <w:rsid w:val="00DE147A"/>
    <w:rsid w:val="00DE75C5"/>
    <w:rsid w:val="00E01315"/>
    <w:rsid w:val="00E06177"/>
    <w:rsid w:val="00E13D7F"/>
    <w:rsid w:val="00E14B32"/>
    <w:rsid w:val="00E16A08"/>
    <w:rsid w:val="00E25859"/>
    <w:rsid w:val="00E3027C"/>
    <w:rsid w:val="00E3574E"/>
    <w:rsid w:val="00E509E1"/>
    <w:rsid w:val="00E54814"/>
    <w:rsid w:val="00E6144A"/>
    <w:rsid w:val="00E673CA"/>
    <w:rsid w:val="00E97CF9"/>
    <w:rsid w:val="00EA0007"/>
    <w:rsid w:val="00EA03F0"/>
    <w:rsid w:val="00ED4E6A"/>
    <w:rsid w:val="00EE0ADA"/>
    <w:rsid w:val="00EF4E62"/>
    <w:rsid w:val="00F01C08"/>
    <w:rsid w:val="00F12A4C"/>
    <w:rsid w:val="00F23FA2"/>
    <w:rsid w:val="00F40CB5"/>
    <w:rsid w:val="00F5454E"/>
    <w:rsid w:val="00F55125"/>
    <w:rsid w:val="00F568DB"/>
    <w:rsid w:val="00F90A53"/>
    <w:rsid w:val="00FC070F"/>
    <w:rsid w:val="00FC3A84"/>
    <w:rsid w:val="00FD5899"/>
    <w:rsid w:val="00FD64F4"/>
    <w:rsid w:val="00FD73D4"/>
    <w:rsid w:val="00FE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0D41"/>
  <w15:chartTrackingRefBased/>
  <w15:docId w15:val="{8466BD62-47B5-47C4-86E2-B5B6BAE4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E8"/>
    <w:pPr>
      <w:spacing w:after="240" w:line="480" w:lineRule="auto"/>
      <w:ind w:firstLine="720"/>
    </w:pPr>
    <w:rPr>
      <w:rFonts w:ascii="Arial" w:hAnsi="Arial" w:cs="Arial"/>
      <w:sz w:val="28"/>
      <w:szCs w:val="28"/>
    </w:rPr>
  </w:style>
  <w:style w:type="paragraph" w:styleId="Heading1">
    <w:name w:val="heading 1"/>
    <w:basedOn w:val="Normal"/>
    <w:next w:val="Normal"/>
    <w:link w:val="Heading1Char"/>
    <w:uiPriority w:val="9"/>
    <w:qFormat/>
    <w:rsid w:val="008345E8"/>
    <w:pPr>
      <w:ind w:firstLine="0"/>
      <w:outlineLvl w:val="0"/>
    </w:pPr>
    <w:rPr>
      <w:b/>
      <w:bCs/>
    </w:rPr>
  </w:style>
  <w:style w:type="paragraph" w:styleId="Heading2">
    <w:name w:val="heading 2"/>
    <w:basedOn w:val="Heading1"/>
    <w:next w:val="Normal"/>
    <w:link w:val="Heading2Char"/>
    <w:uiPriority w:val="9"/>
    <w:unhideWhenUsed/>
    <w:qFormat/>
    <w:rsid w:val="008345E8"/>
    <w:pPr>
      <w:ind w:firstLine="720"/>
      <w:outlineLvl w:val="1"/>
    </w:pPr>
  </w:style>
  <w:style w:type="paragraph" w:styleId="Heading3">
    <w:name w:val="heading 3"/>
    <w:basedOn w:val="Normal"/>
    <w:next w:val="Normal"/>
    <w:link w:val="Heading3Char"/>
    <w:uiPriority w:val="9"/>
    <w:unhideWhenUsed/>
    <w:qFormat/>
    <w:rsid w:val="00A93686"/>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5E8"/>
    <w:rPr>
      <w:rFonts w:ascii="Arial" w:hAnsi="Arial" w:cs="Arial"/>
      <w:b/>
      <w:bCs/>
      <w:sz w:val="28"/>
      <w:szCs w:val="28"/>
    </w:rPr>
  </w:style>
  <w:style w:type="character" w:customStyle="1" w:styleId="Heading2Char">
    <w:name w:val="Heading 2 Char"/>
    <w:basedOn w:val="DefaultParagraphFont"/>
    <w:link w:val="Heading2"/>
    <w:uiPriority w:val="9"/>
    <w:rsid w:val="008345E8"/>
    <w:rPr>
      <w:rFonts w:ascii="Arial" w:hAnsi="Arial" w:cs="Arial"/>
      <w:b/>
      <w:bCs/>
      <w:sz w:val="28"/>
      <w:szCs w:val="28"/>
    </w:rPr>
  </w:style>
  <w:style w:type="paragraph" w:styleId="NoSpacing">
    <w:name w:val="No Spacing"/>
    <w:uiPriority w:val="1"/>
    <w:qFormat/>
    <w:rsid w:val="00E25859"/>
    <w:pPr>
      <w:spacing w:after="0" w:line="240" w:lineRule="auto"/>
      <w:ind w:firstLine="720"/>
      <w:jc w:val="both"/>
    </w:pPr>
    <w:rPr>
      <w:rFonts w:ascii="Century Schoolbook" w:hAnsi="Century Schoolbook" w:cs="Times New Roman"/>
      <w:sz w:val="24"/>
    </w:rPr>
  </w:style>
  <w:style w:type="paragraph" w:styleId="FootnoteText">
    <w:name w:val="footnote text"/>
    <w:basedOn w:val="Normal"/>
    <w:link w:val="FootnoteTextChar"/>
    <w:uiPriority w:val="99"/>
    <w:unhideWhenUsed/>
    <w:rsid w:val="005E0D24"/>
    <w:pPr>
      <w:spacing w:line="240" w:lineRule="auto"/>
    </w:pPr>
    <w:rPr>
      <w:sz w:val="20"/>
      <w:szCs w:val="20"/>
    </w:rPr>
  </w:style>
  <w:style w:type="character" w:customStyle="1" w:styleId="FootnoteTextChar">
    <w:name w:val="Footnote Text Char"/>
    <w:basedOn w:val="DefaultParagraphFont"/>
    <w:link w:val="FootnoteText"/>
    <w:uiPriority w:val="99"/>
    <w:rsid w:val="005E0D24"/>
    <w:rPr>
      <w:rFonts w:ascii="Century Schoolbook" w:hAnsi="Century Schoolbook" w:cs="Times New Roman"/>
      <w:sz w:val="20"/>
      <w:szCs w:val="20"/>
    </w:rPr>
  </w:style>
  <w:style w:type="character" w:styleId="FootnoteReference">
    <w:name w:val="footnote reference"/>
    <w:basedOn w:val="DefaultParagraphFont"/>
    <w:uiPriority w:val="99"/>
    <w:semiHidden/>
    <w:unhideWhenUsed/>
    <w:rsid w:val="005E0D24"/>
    <w:rPr>
      <w:vertAlign w:val="superscript"/>
    </w:rPr>
  </w:style>
  <w:style w:type="paragraph" w:styleId="ListParagraph">
    <w:name w:val="List Paragraph"/>
    <w:basedOn w:val="Normal"/>
    <w:uiPriority w:val="34"/>
    <w:qFormat/>
    <w:rsid w:val="005F3D10"/>
    <w:pPr>
      <w:ind w:left="720"/>
      <w:contextualSpacing/>
    </w:pPr>
  </w:style>
  <w:style w:type="paragraph" w:styleId="Header">
    <w:name w:val="header"/>
    <w:basedOn w:val="Normal"/>
    <w:link w:val="HeaderChar"/>
    <w:uiPriority w:val="99"/>
    <w:unhideWhenUsed/>
    <w:rsid w:val="005F3D10"/>
    <w:pPr>
      <w:tabs>
        <w:tab w:val="center" w:pos="4680"/>
        <w:tab w:val="right" w:pos="9360"/>
      </w:tabs>
      <w:spacing w:line="240" w:lineRule="auto"/>
    </w:pPr>
  </w:style>
  <w:style w:type="character" w:customStyle="1" w:styleId="HeaderChar">
    <w:name w:val="Header Char"/>
    <w:basedOn w:val="DefaultParagraphFont"/>
    <w:link w:val="Header"/>
    <w:uiPriority w:val="99"/>
    <w:rsid w:val="005F3D10"/>
    <w:rPr>
      <w:rFonts w:ascii="Century Schoolbook" w:hAnsi="Century Schoolbook" w:cs="Times New Roman"/>
      <w:sz w:val="24"/>
    </w:rPr>
  </w:style>
  <w:style w:type="paragraph" w:styleId="Footer">
    <w:name w:val="footer"/>
    <w:basedOn w:val="Normal"/>
    <w:link w:val="FooterChar"/>
    <w:uiPriority w:val="99"/>
    <w:unhideWhenUsed/>
    <w:rsid w:val="005F3D10"/>
    <w:pPr>
      <w:tabs>
        <w:tab w:val="center" w:pos="4680"/>
        <w:tab w:val="right" w:pos="9360"/>
      </w:tabs>
      <w:spacing w:line="240" w:lineRule="auto"/>
    </w:pPr>
  </w:style>
  <w:style w:type="character" w:customStyle="1" w:styleId="FooterChar">
    <w:name w:val="Footer Char"/>
    <w:basedOn w:val="DefaultParagraphFont"/>
    <w:link w:val="Footer"/>
    <w:uiPriority w:val="99"/>
    <w:rsid w:val="005F3D10"/>
    <w:rPr>
      <w:rFonts w:ascii="Century Schoolbook" w:hAnsi="Century Schoolbook" w:cs="Times New Roman"/>
      <w:sz w:val="24"/>
    </w:rPr>
  </w:style>
  <w:style w:type="paragraph" w:styleId="Revision">
    <w:name w:val="Revision"/>
    <w:hidden/>
    <w:uiPriority w:val="99"/>
    <w:semiHidden/>
    <w:rsid w:val="00CA2905"/>
    <w:pPr>
      <w:spacing w:after="0" w:line="240" w:lineRule="auto"/>
    </w:pPr>
    <w:rPr>
      <w:rFonts w:ascii="Century Schoolbook" w:hAnsi="Century Schoolbook" w:cs="Times New Roman"/>
      <w:sz w:val="24"/>
    </w:rPr>
  </w:style>
  <w:style w:type="paragraph" w:styleId="Quote">
    <w:name w:val="Quote"/>
    <w:basedOn w:val="Normal"/>
    <w:next w:val="Normal"/>
    <w:link w:val="QuoteChar"/>
    <w:uiPriority w:val="29"/>
    <w:qFormat/>
    <w:rsid w:val="00A93686"/>
    <w:pPr>
      <w:spacing w:line="360" w:lineRule="auto"/>
      <w:ind w:left="720" w:right="720" w:firstLine="0"/>
      <w:jc w:val="both"/>
    </w:pPr>
  </w:style>
  <w:style w:type="character" w:customStyle="1" w:styleId="QuoteChar">
    <w:name w:val="Quote Char"/>
    <w:basedOn w:val="DefaultParagraphFont"/>
    <w:link w:val="Quote"/>
    <w:uiPriority w:val="29"/>
    <w:rsid w:val="00A93686"/>
    <w:rPr>
      <w:rFonts w:ascii="Arial" w:hAnsi="Arial" w:cs="Arial"/>
      <w:sz w:val="28"/>
      <w:szCs w:val="28"/>
    </w:rPr>
  </w:style>
  <w:style w:type="character" w:customStyle="1" w:styleId="Heading3Char">
    <w:name w:val="Heading 3 Char"/>
    <w:basedOn w:val="DefaultParagraphFont"/>
    <w:link w:val="Heading3"/>
    <w:uiPriority w:val="9"/>
    <w:rsid w:val="00A93686"/>
    <w:rPr>
      <w:rFonts w:ascii="Arial" w:hAnsi="Arial" w:cs="Arial"/>
      <w:b/>
      <w:bCs/>
      <w:sz w:val="28"/>
      <w:szCs w:val="28"/>
    </w:rPr>
  </w:style>
  <w:style w:type="character" w:styleId="Emphasis">
    <w:name w:val="Emphasis"/>
    <w:uiPriority w:val="20"/>
    <w:qFormat/>
    <w:rsid w:val="00A9368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CE84-BE5F-4AD4-AD1B-7B6A6AE0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7281</Words>
  <Characters>37426</Characters>
  <Application>Microsoft Office Word</Application>
  <DocSecurity>0</DocSecurity>
  <Lines>733</Lines>
  <Paragraphs>183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dc:description/>
  <cp:lastModifiedBy>Michael Bardwell</cp:lastModifiedBy>
  <cp:revision>6</cp:revision>
  <cp:lastPrinted>2026-04-01T12:30:00Z</cp:lastPrinted>
  <dcterms:created xsi:type="dcterms:W3CDTF">2026-04-08T20:27:00Z</dcterms:created>
  <dcterms:modified xsi:type="dcterms:W3CDTF">2026-04-08T20:48:00Z</dcterms:modified>
</cp:coreProperties>
</file>